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D22D2" w14:textId="77777777" w:rsidR="0002384D" w:rsidRDefault="00A00394" w:rsidP="0002384D">
      <w:pPr>
        <w:rPr>
          <w:rFonts w:ascii="Tw Cen MT" w:hAnsi="Tw Cen MT"/>
          <w:b/>
          <w:bCs/>
          <w:color w:val="215868"/>
        </w:rPr>
      </w:pPr>
      <w:r w:rsidRPr="00A00394">
        <w:rPr>
          <w:rFonts w:ascii="Tw Cen MT" w:hAnsi="Tw Cen MT"/>
          <w:b/>
          <w:bCs/>
          <w:color w:val="215868"/>
          <w:sz w:val="24"/>
          <w:szCs w:val="24"/>
        </w:rPr>
        <w:t xml:space="preserve">School of Pharmacy </w:t>
      </w:r>
      <w:r w:rsidR="0002384D" w:rsidRPr="00A00394">
        <w:rPr>
          <w:rFonts w:ascii="Tw Cen MT" w:hAnsi="Tw Cen MT"/>
          <w:b/>
          <w:bCs/>
          <w:color w:val="215868"/>
          <w:sz w:val="24"/>
          <w:szCs w:val="24"/>
        </w:rPr>
        <w:t>Comp</w:t>
      </w:r>
      <w:r w:rsidRPr="00A00394">
        <w:rPr>
          <w:rFonts w:ascii="Tw Cen MT" w:hAnsi="Tw Cen MT"/>
          <w:b/>
          <w:bCs/>
          <w:color w:val="215868"/>
          <w:sz w:val="24"/>
          <w:szCs w:val="24"/>
        </w:rPr>
        <w:t>ensation</w:t>
      </w:r>
      <w:r w:rsidR="0002384D" w:rsidRPr="00A00394">
        <w:rPr>
          <w:rFonts w:ascii="Tw Cen MT" w:hAnsi="Tw Cen MT"/>
          <w:b/>
          <w:bCs/>
          <w:color w:val="215868"/>
          <w:sz w:val="24"/>
          <w:szCs w:val="24"/>
        </w:rPr>
        <w:t xml:space="preserve"> Plan Advisory Committee</w:t>
      </w:r>
      <w:r w:rsidR="000E4E88">
        <w:rPr>
          <w:rFonts w:ascii="Tw Cen MT" w:hAnsi="Tw Cen MT"/>
          <w:b/>
          <w:bCs/>
          <w:color w:val="215868"/>
          <w:sz w:val="24"/>
          <w:szCs w:val="24"/>
        </w:rPr>
        <w:t xml:space="preserve"> (CPAC)</w:t>
      </w:r>
      <w:r w:rsidR="0002384D" w:rsidRPr="00A00394">
        <w:rPr>
          <w:rFonts w:ascii="Tw Cen MT" w:hAnsi="Tw Cen MT"/>
          <w:b/>
          <w:bCs/>
          <w:color w:val="215868"/>
          <w:sz w:val="24"/>
          <w:szCs w:val="24"/>
        </w:rPr>
        <w:t xml:space="preserve"> Meeti</w:t>
      </w:r>
      <w:r w:rsidR="0002384D">
        <w:rPr>
          <w:rFonts w:ascii="Tw Cen MT" w:hAnsi="Tw Cen MT"/>
          <w:b/>
          <w:bCs/>
          <w:color w:val="215868"/>
        </w:rPr>
        <w:t>ng</w:t>
      </w:r>
      <w:r w:rsidR="001D016E">
        <w:rPr>
          <w:rFonts w:ascii="Tw Cen MT" w:hAnsi="Tw Cen MT"/>
          <w:b/>
          <w:bCs/>
          <w:color w:val="215868"/>
        </w:rPr>
        <w:t xml:space="preserve"> Minutes</w:t>
      </w:r>
    </w:p>
    <w:p w14:paraId="223DC994" w14:textId="53F2F2EC" w:rsidR="00A00394" w:rsidRDefault="00DB6A5E" w:rsidP="0002384D">
      <w:pPr>
        <w:rPr>
          <w:rFonts w:ascii="Tw Cen MT" w:hAnsi="Tw Cen MT"/>
          <w:b/>
          <w:bCs/>
          <w:color w:val="215868"/>
        </w:rPr>
      </w:pPr>
      <w:r>
        <w:rPr>
          <w:rFonts w:ascii="Tw Cen MT" w:hAnsi="Tw Cen MT"/>
          <w:b/>
          <w:bCs/>
          <w:color w:val="215868"/>
        </w:rPr>
        <w:t>May 12, 2020</w:t>
      </w:r>
    </w:p>
    <w:p w14:paraId="376AECD6" w14:textId="440B6842" w:rsidR="00A00394" w:rsidRDefault="00D07656" w:rsidP="0002384D">
      <w:pPr>
        <w:rPr>
          <w:rFonts w:ascii="Tw Cen MT" w:hAnsi="Tw Cen MT"/>
          <w:b/>
          <w:bCs/>
          <w:color w:val="215868"/>
        </w:rPr>
      </w:pPr>
      <w:r>
        <w:rPr>
          <w:rFonts w:ascii="Tw Cen MT" w:hAnsi="Tw Cen MT"/>
          <w:b/>
          <w:bCs/>
          <w:color w:val="215868"/>
        </w:rPr>
        <w:t>1</w:t>
      </w:r>
      <w:r w:rsidR="00DB6A5E">
        <w:rPr>
          <w:rFonts w:ascii="Tw Cen MT" w:hAnsi="Tw Cen MT"/>
          <w:b/>
          <w:bCs/>
          <w:color w:val="215868"/>
        </w:rPr>
        <w:t>2:00 pm – 1</w:t>
      </w:r>
      <w:r w:rsidR="00A00394">
        <w:rPr>
          <w:rFonts w:ascii="Tw Cen MT" w:hAnsi="Tw Cen MT"/>
          <w:b/>
          <w:bCs/>
          <w:color w:val="215868"/>
        </w:rPr>
        <w:t>:30 pm</w:t>
      </w:r>
    </w:p>
    <w:p w14:paraId="1C0C9ED1" w14:textId="2B817C3F" w:rsidR="0002384D" w:rsidRDefault="00DB6A5E" w:rsidP="0002384D">
      <w:pPr>
        <w:rPr>
          <w:rFonts w:ascii="Tw Cen MT" w:hAnsi="Tw Cen MT"/>
          <w:b/>
          <w:bCs/>
          <w:color w:val="215868"/>
        </w:rPr>
      </w:pPr>
      <w:r>
        <w:rPr>
          <w:rFonts w:ascii="Tw Cen MT" w:hAnsi="Tw Cen MT"/>
          <w:b/>
          <w:bCs/>
          <w:color w:val="215868"/>
        </w:rPr>
        <w:t>Location: Zoom</w:t>
      </w:r>
    </w:p>
    <w:p w14:paraId="2B357FEF" w14:textId="77777777" w:rsidR="001D016E" w:rsidRDefault="001D016E" w:rsidP="0002384D">
      <w:pPr>
        <w:rPr>
          <w:rFonts w:ascii="Tw Cen MT" w:hAnsi="Tw Cen MT"/>
          <w:b/>
          <w:bCs/>
          <w:color w:val="215868"/>
        </w:rPr>
      </w:pPr>
    </w:p>
    <w:p w14:paraId="3E79BCA8" w14:textId="149F0353" w:rsidR="001D016E" w:rsidRDefault="001D016E" w:rsidP="003E6E1B">
      <w:pPr>
        <w:rPr>
          <w:rFonts w:ascii="Tw Cen MT" w:hAnsi="Tw Cen MT"/>
          <w:color w:val="215868"/>
        </w:rPr>
      </w:pPr>
      <w:r>
        <w:rPr>
          <w:rFonts w:ascii="Tw Cen MT" w:hAnsi="Tw Cen MT"/>
          <w:b/>
          <w:bCs/>
          <w:color w:val="215868"/>
        </w:rPr>
        <w:t xml:space="preserve">Attendees: </w:t>
      </w:r>
      <w:r w:rsidRPr="001D016E">
        <w:rPr>
          <w:rFonts w:ascii="Tw Cen MT" w:hAnsi="Tw Cen MT"/>
          <w:color w:val="215868"/>
        </w:rPr>
        <w:t>Tom Kearney (</w:t>
      </w:r>
      <w:r w:rsidR="003E6E1B">
        <w:rPr>
          <w:rFonts w:ascii="Tw Cen MT" w:hAnsi="Tw Cen MT"/>
          <w:color w:val="215868"/>
        </w:rPr>
        <w:t xml:space="preserve">CP - </w:t>
      </w:r>
      <w:r w:rsidRPr="001D016E">
        <w:rPr>
          <w:rFonts w:ascii="Tw Cen MT" w:hAnsi="Tw Cen MT"/>
          <w:color w:val="215868"/>
        </w:rPr>
        <w:t>Chair)</w:t>
      </w:r>
      <w:r w:rsidR="003E6E1B">
        <w:rPr>
          <w:rFonts w:ascii="Tw Cen MT" w:hAnsi="Tw Cen MT"/>
          <w:color w:val="215868"/>
        </w:rPr>
        <w:t>,</w:t>
      </w:r>
      <w:r w:rsidRPr="001D016E">
        <w:rPr>
          <w:rFonts w:ascii="Tw Cen MT" w:hAnsi="Tw Cen MT"/>
          <w:color w:val="215868"/>
        </w:rPr>
        <w:t xml:space="preserve"> </w:t>
      </w:r>
      <w:r w:rsidR="00DB6A5E">
        <w:rPr>
          <w:rFonts w:ascii="Tw Cen MT" w:hAnsi="Tw Cen MT"/>
          <w:color w:val="215868"/>
        </w:rPr>
        <w:t>Rada Savic (</w:t>
      </w:r>
      <w:r w:rsidR="00DB6A5E" w:rsidRPr="001D016E">
        <w:rPr>
          <w:rFonts w:ascii="Tw Cen MT" w:hAnsi="Tw Cen MT"/>
          <w:color w:val="215868"/>
        </w:rPr>
        <w:t>CP</w:t>
      </w:r>
      <w:r w:rsidR="00DB6A5E">
        <w:rPr>
          <w:rFonts w:ascii="Tw Cen MT" w:hAnsi="Tw Cen MT"/>
          <w:b/>
          <w:bCs/>
          <w:color w:val="215868"/>
        </w:rPr>
        <w:t xml:space="preserve">), </w:t>
      </w:r>
      <w:r w:rsidR="00DB6A5E">
        <w:rPr>
          <w:rFonts w:ascii="Tw Cen MT" w:hAnsi="Tw Cen MT"/>
          <w:color w:val="215868"/>
        </w:rPr>
        <w:t xml:space="preserve">Ian Seiple (PC), Frank Szoka (BTS), </w:t>
      </w:r>
      <w:r w:rsidR="003E6E1B">
        <w:rPr>
          <w:rFonts w:ascii="Tw Cen MT" w:hAnsi="Tw Cen MT"/>
          <w:color w:val="215868"/>
        </w:rPr>
        <w:t>Bani T</w:t>
      </w:r>
      <w:r w:rsidR="003E6E1B" w:rsidRPr="001D016E">
        <w:rPr>
          <w:rFonts w:ascii="Tw Cen MT" w:hAnsi="Tw Cen MT"/>
          <w:color w:val="215868"/>
        </w:rPr>
        <w:t xml:space="preserve">amraz </w:t>
      </w:r>
      <w:r w:rsidR="003E6E1B">
        <w:rPr>
          <w:rFonts w:ascii="Tw Cen MT" w:hAnsi="Tw Cen MT"/>
          <w:color w:val="215868"/>
        </w:rPr>
        <w:t>(</w:t>
      </w:r>
      <w:r w:rsidR="003E6E1B" w:rsidRPr="001D016E">
        <w:rPr>
          <w:rFonts w:ascii="Tw Cen MT" w:hAnsi="Tw Cen MT"/>
          <w:color w:val="215868"/>
        </w:rPr>
        <w:t>CP</w:t>
      </w:r>
      <w:r w:rsidR="003E6E1B">
        <w:rPr>
          <w:rFonts w:ascii="Tw Cen MT" w:hAnsi="Tw Cen MT"/>
          <w:color w:val="215868"/>
        </w:rPr>
        <w:t>)</w:t>
      </w:r>
      <w:r w:rsidR="00DB6A5E">
        <w:rPr>
          <w:rFonts w:ascii="Tw Cen MT" w:hAnsi="Tw Cen MT"/>
          <w:color w:val="215868"/>
        </w:rPr>
        <w:t xml:space="preserve">, Crystal Zhou (CP), </w:t>
      </w:r>
      <w:r w:rsidR="006B425B" w:rsidRPr="001D016E">
        <w:rPr>
          <w:rFonts w:ascii="Tw Cen MT" w:hAnsi="Tw Cen MT"/>
          <w:color w:val="215868"/>
        </w:rPr>
        <w:t xml:space="preserve">Diana Koeplin </w:t>
      </w:r>
      <w:r w:rsidR="003E6E1B">
        <w:rPr>
          <w:rFonts w:ascii="Tw Cen MT" w:hAnsi="Tw Cen MT"/>
          <w:color w:val="215868"/>
        </w:rPr>
        <w:t>(</w:t>
      </w:r>
      <w:r w:rsidR="006A4C27">
        <w:rPr>
          <w:rFonts w:ascii="Tw Cen MT" w:hAnsi="Tw Cen MT"/>
          <w:color w:val="215868"/>
        </w:rPr>
        <w:t>DO</w:t>
      </w:r>
      <w:r w:rsidR="003E6E1B">
        <w:rPr>
          <w:rFonts w:ascii="Tw Cen MT" w:hAnsi="Tw Cen MT"/>
          <w:color w:val="215868"/>
        </w:rPr>
        <w:t>),</w:t>
      </w:r>
      <w:r w:rsidR="006B425B" w:rsidRPr="001D016E">
        <w:rPr>
          <w:rFonts w:ascii="Tw Cen MT" w:hAnsi="Tw Cen MT"/>
          <w:color w:val="215868"/>
        </w:rPr>
        <w:t xml:space="preserve"> </w:t>
      </w:r>
      <w:r w:rsidR="005F78D2">
        <w:rPr>
          <w:rFonts w:ascii="Tw Cen MT" w:hAnsi="Tw Cen MT"/>
          <w:color w:val="215868"/>
        </w:rPr>
        <w:t>Phillip Babcock (VPAA)</w:t>
      </w:r>
    </w:p>
    <w:p w14:paraId="28AB195C" w14:textId="77777777" w:rsidR="005F78D2" w:rsidRDefault="005F78D2" w:rsidP="003E6E1B">
      <w:pPr>
        <w:rPr>
          <w:rFonts w:ascii="Tw Cen MT" w:hAnsi="Tw Cen MT"/>
          <w:color w:val="215868"/>
        </w:rPr>
      </w:pPr>
    </w:p>
    <w:p w14:paraId="5F4741C9" w14:textId="7FB3E51D" w:rsidR="0002384D" w:rsidRDefault="005F78D2" w:rsidP="0002384D">
      <w:pPr>
        <w:rPr>
          <w:rFonts w:ascii="Tw Cen MT" w:hAnsi="Tw Cen MT"/>
          <w:b/>
          <w:bCs/>
          <w:color w:val="215868"/>
        </w:rPr>
      </w:pPr>
      <w:r>
        <w:rPr>
          <w:rFonts w:ascii="Tw Cen MT" w:hAnsi="Tw Cen MT"/>
          <w:b/>
          <w:bCs/>
          <w:color w:val="215868"/>
        </w:rPr>
        <w:t xml:space="preserve">Absent: </w:t>
      </w:r>
      <w:r w:rsidR="00DB6A5E">
        <w:rPr>
          <w:rFonts w:ascii="Tw Cen MT" w:hAnsi="Tw Cen MT"/>
          <w:color w:val="215868"/>
        </w:rPr>
        <w:t>Al Burlingame (PC)</w:t>
      </w:r>
    </w:p>
    <w:p w14:paraId="14D7F6D7" w14:textId="77777777" w:rsidR="00D94536" w:rsidRDefault="00D94536" w:rsidP="006B425B">
      <w:pPr>
        <w:rPr>
          <w:rFonts w:ascii="Tw Cen MT" w:hAnsi="Tw Cen MT"/>
          <w:b/>
          <w:bCs/>
          <w:color w:val="215868"/>
        </w:rPr>
      </w:pPr>
    </w:p>
    <w:p w14:paraId="37C36DF9" w14:textId="77777777" w:rsidR="008078F6" w:rsidRPr="008078F6" w:rsidRDefault="008078F6" w:rsidP="008078F6">
      <w:pPr>
        <w:rPr>
          <w:rFonts w:ascii="Tw Cen MT" w:hAnsi="Tw Cen MT"/>
          <w:b/>
          <w:bCs/>
          <w:color w:val="215868"/>
        </w:rPr>
      </w:pPr>
      <w:r w:rsidRPr="008078F6">
        <w:rPr>
          <w:rFonts w:ascii="Tw Cen MT" w:hAnsi="Tw Cen MT"/>
          <w:b/>
          <w:bCs/>
          <w:color w:val="215868"/>
        </w:rPr>
        <w:t>Handouts:  </w:t>
      </w:r>
    </w:p>
    <w:p w14:paraId="5F5EC9BD" w14:textId="77777777" w:rsidR="008078F6" w:rsidRPr="008078F6" w:rsidRDefault="00063AA0" w:rsidP="008078F6">
      <w:pPr>
        <w:pStyle w:val="ListParagraph"/>
        <w:numPr>
          <w:ilvl w:val="0"/>
          <w:numId w:val="11"/>
        </w:numPr>
        <w:contextualSpacing/>
        <w:rPr>
          <w:rFonts w:ascii="Tw Cen MT" w:hAnsi="Tw Cen MT"/>
          <w:bCs/>
          <w:color w:val="215868"/>
        </w:rPr>
      </w:pPr>
      <w:hyperlink r:id="rId8" w:history="1">
        <w:r w:rsidR="008078F6" w:rsidRPr="008078F6">
          <w:rPr>
            <w:rFonts w:ascii="Tw Cen MT" w:hAnsi="Tw Cen MT"/>
            <w:bCs/>
            <w:color w:val="215868"/>
          </w:rPr>
          <w:t>SOP Comp Plan Advisory Committee responsibilities with 2019-20 member list</w:t>
        </w:r>
      </w:hyperlink>
    </w:p>
    <w:p w14:paraId="526E4129" w14:textId="23FF9A65" w:rsidR="008078F6" w:rsidRPr="008078F6" w:rsidRDefault="008078F6" w:rsidP="008078F6">
      <w:pPr>
        <w:pStyle w:val="ListParagraph"/>
        <w:numPr>
          <w:ilvl w:val="0"/>
          <w:numId w:val="11"/>
        </w:numPr>
        <w:contextualSpacing/>
        <w:rPr>
          <w:rFonts w:ascii="Tw Cen MT" w:hAnsi="Tw Cen MT"/>
          <w:bCs/>
          <w:color w:val="215868"/>
        </w:rPr>
      </w:pPr>
      <w:r w:rsidRPr="008078F6">
        <w:rPr>
          <w:rFonts w:ascii="Tw Cen MT" w:hAnsi="Tw Cen MT"/>
          <w:bCs/>
          <w:color w:val="215868"/>
        </w:rPr>
        <w:t>Comp Plan Advisory</w:t>
      </w:r>
      <w:r w:rsidR="00DB6A5E">
        <w:rPr>
          <w:rFonts w:ascii="Tw Cen MT" w:hAnsi="Tw Cen MT"/>
          <w:bCs/>
          <w:color w:val="215868"/>
        </w:rPr>
        <w:t xml:space="preserve"> Committee Minutes from November 11</w:t>
      </w:r>
      <w:r w:rsidRPr="008078F6">
        <w:rPr>
          <w:rFonts w:ascii="Tw Cen MT" w:hAnsi="Tw Cen MT"/>
          <w:bCs/>
          <w:color w:val="215868"/>
        </w:rPr>
        <w:t>, 2019</w:t>
      </w:r>
    </w:p>
    <w:p w14:paraId="107F2CCF" w14:textId="77777777" w:rsidR="006B425B" w:rsidRDefault="00C57261" w:rsidP="0002384D">
      <w:pPr>
        <w:rPr>
          <w:rFonts w:ascii="Tw Cen MT" w:hAnsi="Tw Cen MT"/>
          <w:b/>
          <w:bCs/>
          <w:color w:val="215868"/>
        </w:rPr>
      </w:pPr>
      <w:r>
        <w:rPr>
          <w:rFonts w:ascii="Tw Cen MT" w:hAnsi="Tw Cen MT"/>
          <w:b/>
          <w:bCs/>
          <w:noProof/>
          <w:color w:val="21586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408C6" wp14:editId="47A1526B">
                <wp:simplePos x="0" y="0"/>
                <wp:positionH relativeFrom="column">
                  <wp:posOffset>-50800</wp:posOffset>
                </wp:positionH>
                <wp:positionV relativeFrom="paragraph">
                  <wp:posOffset>48532</wp:posOffset>
                </wp:positionV>
                <wp:extent cx="6059714" cy="29029"/>
                <wp:effectExtent l="0" t="0" r="3683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9714" cy="2902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E5AAE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3.8pt" to="473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" strokecolor="#205867 [1608]"/>
            </w:pict>
          </mc:Fallback>
        </mc:AlternateContent>
      </w:r>
    </w:p>
    <w:p w14:paraId="79E6C83A" w14:textId="77777777" w:rsidR="0002384D" w:rsidRDefault="0002384D" w:rsidP="0002384D">
      <w:pPr>
        <w:rPr>
          <w:rFonts w:ascii="Tw Cen MT" w:hAnsi="Tw Cen MT"/>
          <w:b/>
          <w:bCs/>
          <w:color w:val="215868"/>
        </w:rPr>
      </w:pPr>
    </w:p>
    <w:p w14:paraId="259C60C4" w14:textId="77777777" w:rsidR="0002384D" w:rsidRPr="006C69BD" w:rsidRDefault="0002384D" w:rsidP="0002384D">
      <w:pPr>
        <w:rPr>
          <w:b/>
          <w:color w:val="000000"/>
        </w:rPr>
      </w:pPr>
      <w:r w:rsidRPr="006C69BD">
        <w:rPr>
          <w:rFonts w:ascii="Tw Cen MT" w:hAnsi="Tw Cen MT"/>
          <w:b/>
          <w:bCs/>
          <w:color w:val="215868"/>
        </w:rPr>
        <w:t>AGENDA:</w:t>
      </w:r>
    </w:p>
    <w:p w14:paraId="7B39173E" w14:textId="7D8CC1F0" w:rsidR="006B425B" w:rsidRDefault="0002384D" w:rsidP="00283483">
      <w:pPr>
        <w:pStyle w:val="ListParagraph"/>
        <w:numPr>
          <w:ilvl w:val="0"/>
          <w:numId w:val="19"/>
        </w:numPr>
      </w:pPr>
      <w:r w:rsidRPr="006C69BD">
        <w:rPr>
          <w:rFonts w:ascii="Tw Cen MT" w:hAnsi="Tw Cen MT"/>
          <w:b/>
          <w:color w:val="215868"/>
        </w:rPr>
        <w:t>Welcome</w:t>
      </w:r>
      <w:r w:rsidR="001A2C22">
        <w:rPr>
          <w:rFonts w:ascii="Tw Cen MT" w:hAnsi="Tw Cen MT"/>
          <w:b/>
          <w:color w:val="215868"/>
        </w:rPr>
        <w:t>:</w:t>
      </w:r>
      <w:r w:rsidR="001D016E">
        <w:rPr>
          <w:rFonts w:ascii="Tw Cen MT" w:hAnsi="Tw Cen MT"/>
          <w:color w:val="215868"/>
        </w:rPr>
        <w:t xml:space="preserve"> </w:t>
      </w:r>
      <w:r w:rsidR="00E0072A">
        <w:t>Associate Dean Kearney</w:t>
      </w:r>
      <w:r w:rsidR="006B425B">
        <w:t xml:space="preserve"> began</w:t>
      </w:r>
      <w:r w:rsidR="00E0072A">
        <w:t xml:space="preserve"> the meeting</w:t>
      </w:r>
      <w:r w:rsidR="006B425B">
        <w:t xml:space="preserve"> </w:t>
      </w:r>
      <w:r w:rsidR="002D0963">
        <w:t>at 1</w:t>
      </w:r>
      <w:r w:rsidR="00DB6A5E">
        <w:t>2:05</w:t>
      </w:r>
      <w:r w:rsidR="00652911">
        <w:t>pm</w:t>
      </w:r>
    </w:p>
    <w:p w14:paraId="2F88FD13" w14:textId="77777777" w:rsidR="00652911" w:rsidRPr="00652911" w:rsidRDefault="00652911" w:rsidP="00652911">
      <w:pPr>
        <w:ind w:left="360"/>
        <w:rPr>
          <w:rFonts w:ascii="Tw Cen MT" w:hAnsi="Tw Cen MT"/>
          <w:color w:val="215868"/>
        </w:rPr>
      </w:pPr>
    </w:p>
    <w:p w14:paraId="4CC16849" w14:textId="7AFF7992" w:rsidR="0002384D" w:rsidRPr="006C69BD" w:rsidRDefault="0002384D" w:rsidP="00283483">
      <w:pPr>
        <w:pStyle w:val="ListParagraph"/>
        <w:numPr>
          <w:ilvl w:val="0"/>
          <w:numId w:val="19"/>
        </w:numPr>
        <w:rPr>
          <w:rFonts w:ascii="Tw Cen MT" w:hAnsi="Tw Cen MT"/>
          <w:b/>
          <w:color w:val="215868"/>
        </w:rPr>
      </w:pPr>
      <w:r w:rsidRPr="006C69BD">
        <w:rPr>
          <w:rFonts w:ascii="Tw Cen MT" w:hAnsi="Tw Cen MT"/>
          <w:b/>
          <w:color w:val="215868"/>
        </w:rPr>
        <w:t>Respons</w:t>
      </w:r>
      <w:r w:rsidR="00487B91">
        <w:rPr>
          <w:rFonts w:ascii="Tw Cen MT" w:hAnsi="Tw Cen MT"/>
          <w:b/>
          <w:color w:val="215868"/>
        </w:rPr>
        <w:t>ibilities of Advisory Committee</w:t>
      </w:r>
    </w:p>
    <w:p w14:paraId="7FE40E1B" w14:textId="0DD41FEC" w:rsidR="001D3A16" w:rsidRDefault="001C3B1A" w:rsidP="00283483">
      <w:pPr>
        <w:ind w:left="720"/>
      </w:pPr>
      <w:r>
        <w:t>Associate Dean</w:t>
      </w:r>
      <w:r w:rsidR="001D3A16">
        <w:t xml:space="preserve"> Kearney reviewed the Committee’s charge and responsibilities document</w:t>
      </w:r>
      <w:r w:rsidR="009068E3">
        <w:t xml:space="preserve"> (handout #1)</w:t>
      </w:r>
      <w:r w:rsidR="001D3A16">
        <w:t xml:space="preserve">. As a reminder, the Committee serves in an advisory capacity to the Dean. The Committee reviews any conflicts and appeals for loss of good standing. </w:t>
      </w:r>
    </w:p>
    <w:p w14:paraId="27862727" w14:textId="77777777" w:rsidR="0025111E" w:rsidRDefault="0025111E" w:rsidP="00283483">
      <w:pPr>
        <w:ind w:left="720"/>
      </w:pPr>
    </w:p>
    <w:p w14:paraId="34735C30" w14:textId="0F38A58C" w:rsidR="001D3A16" w:rsidRPr="001D3A16" w:rsidRDefault="001D3A16" w:rsidP="00283483">
      <w:pPr>
        <w:pStyle w:val="ListParagraph"/>
        <w:numPr>
          <w:ilvl w:val="0"/>
          <w:numId w:val="19"/>
        </w:numPr>
      </w:pPr>
      <w:r w:rsidRPr="00283483">
        <w:rPr>
          <w:rFonts w:ascii="Tw Cen MT" w:hAnsi="Tw Cen MT"/>
          <w:b/>
          <w:color w:val="215868"/>
        </w:rPr>
        <w:t>CPAC Membership</w:t>
      </w:r>
    </w:p>
    <w:p w14:paraId="3BE37575" w14:textId="6AA814BE" w:rsidR="00283483" w:rsidRDefault="001D3A16" w:rsidP="00283483">
      <w:pPr>
        <w:ind w:left="720"/>
      </w:pPr>
      <w:r>
        <w:t>The terms for Drs. Seiple</w:t>
      </w:r>
      <w:r w:rsidR="00E0072A">
        <w:t xml:space="preserve">, </w:t>
      </w:r>
      <w:r>
        <w:t>Szoka</w:t>
      </w:r>
      <w:r w:rsidR="00E0072A">
        <w:t xml:space="preserve">, and </w:t>
      </w:r>
      <w:r>
        <w:t>Tamraz</w:t>
      </w:r>
      <w:r w:rsidR="00E0072A">
        <w:t xml:space="preserve"> will end</w:t>
      </w:r>
      <w:r>
        <w:t xml:space="preserve"> on June 30, 2020. It is confirmed that Drs. Seiple and Tamraz will serve for a 2</w:t>
      </w:r>
      <w:r w:rsidRPr="00283483">
        <w:rPr>
          <w:vertAlign w:val="superscript"/>
        </w:rPr>
        <w:t>nd</w:t>
      </w:r>
      <w:r>
        <w:t xml:space="preserve"> term from Jul</w:t>
      </w:r>
      <w:r w:rsidR="004F2E9A">
        <w:t>y</w:t>
      </w:r>
      <w:r>
        <w:t xml:space="preserve"> 1, 2020 through June 20, 2023. </w:t>
      </w:r>
      <w:r w:rsidR="004F2E9A">
        <w:t xml:space="preserve">Dr. Szoka will be replaced </w:t>
      </w:r>
      <w:r>
        <w:t>by a Dean’s appointee from BTS. Dr. Kearney thanked Dr. Szoka for his years of service</w:t>
      </w:r>
      <w:r w:rsidR="0025111E">
        <w:t xml:space="preserve"> on the </w:t>
      </w:r>
      <w:r w:rsidR="00316078">
        <w:t>Committee</w:t>
      </w:r>
      <w:r w:rsidR="0025111E">
        <w:t>.</w:t>
      </w:r>
    </w:p>
    <w:p w14:paraId="447062D6" w14:textId="77777777" w:rsidR="0025111E" w:rsidRDefault="0025111E" w:rsidP="00283483">
      <w:pPr>
        <w:ind w:left="720"/>
      </w:pPr>
    </w:p>
    <w:p w14:paraId="62C61559" w14:textId="10410E95" w:rsidR="0002384D" w:rsidRPr="00283483" w:rsidRDefault="0002384D" w:rsidP="00283483">
      <w:pPr>
        <w:pStyle w:val="ListParagraph"/>
        <w:numPr>
          <w:ilvl w:val="0"/>
          <w:numId w:val="19"/>
        </w:numPr>
      </w:pPr>
      <w:r w:rsidRPr="00283483">
        <w:rPr>
          <w:rFonts w:ascii="Tw Cen MT" w:hAnsi="Tw Cen MT"/>
          <w:b/>
          <w:color w:val="215868"/>
        </w:rPr>
        <w:t xml:space="preserve">Approval of Minutes from the </w:t>
      </w:r>
      <w:r w:rsidR="004F2E9A">
        <w:rPr>
          <w:rFonts w:ascii="Tw Cen MT" w:hAnsi="Tw Cen MT"/>
          <w:b/>
          <w:color w:val="215868"/>
        </w:rPr>
        <w:t>November 11</w:t>
      </w:r>
      <w:r w:rsidR="003C1969" w:rsidRPr="00283483">
        <w:rPr>
          <w:rFonts w:ascii="Tw Cen MT" w:hAnsi="Tw Cen MT"/>
          <w:b/>
          <w:color w:val="215868"/>
        </w:rPr>
        <w:t>, 2019</w:t>
      </w:r>
      <w:r w:rsidR="00761CAF" w:rsidRPr="00283483">
        <w:rPr>
          <w:rFonts w:ascii="Tw Cen MT" w:hAnsi="Tw Cen MT"/>
          <w:b/>
          <w:color w:val="215868"/>
        </w:rPr>
        <w:t xml:space="preserve"> </w:t>
      </w:r>
      <w:r w:rsidR="00DF3ECA" w:rsidRPr="00283483">
        <w:rPr>
          <w:rFonts w:ascii="Tw Cen MT" w:hAnsi="Tw Cen MT"/>
          <w:b/>
          <w:color w:val="215868"/>
        </w:rPr>
        <w:t>meeting</w:t>
      </w:r>
    </w:p>
    <w:p w14:paraId="281872C0" w14:textId="3BA3BD14" w:rsidR="00180E8F" w:rsidRPr="00283483" w:rsidRDefault="00EF38E9" w:rsidP="00283483">
      <w:pPr>
        <w:ind w:left="720"/>
        <w:rPr>
          <w:i/>
          <w:color w:val="000099"/>
          <w:sz w:val="24"/>
          <w:szCs w:val="24"/>
        </w:rPr>
      </w:pPr>
      <w:r>
        <w:t xml:space="preserve">Dr. </w:t>
      </w:r>
      <w:r w:rsidR="004F2E9A">
        <w:t>Savic</w:t>
      </w:r>
      <w:r w:rsidR="006B425B">
        <w:t xml:space="preserve"> </w:t>
      </w:r>
      <w:r w:rsidR="00565E30">
        <w:t>moved to approve the meeting minutes</w:t>
      </w:r>
      <w:r w:rsidR="00DF3ECA">
        <w:t xml:space="preserve"> (handout #2)</w:t>
      </w:r>
      <w:r w:rsidR="00565E30">
        <w:t xml:space="preserve">, </w:t>
      </w:r>
      <w:r>
        <w:t xml:space="preserve">Dr. </w:t>
      </w:r>
      <w:r w:rsidR="004F2E9A">
        <w:t>Seiple</w:t>
      </w:r>
      <w:r w:rsidR="00565E30">
        <w:t xml:space="preserve"> provided the 2</w:t>
      </w:r>
      <w:r w:rsidR="00565E30" w:rsidRPr="00283483">
        <w:rPr>
          <w:vertAlign w:val="superscript"/>
        </w:rPr>
        <w:t>nd</w:t>
      </w:r>
      <w:r w:rsidR="00565E30">
        <w:t xml:space="preserve"> motion. </w:t>
      </w:r>
      <w:r w:rsidR="002E014D">
        <w:t xml:space="preserve">The minutes were approved unanimously. </w:t>
      </w:r>
      <w:r w:rsidR="005944D9">
        <w:t xml:space="preserve">It should be noted that </w:t>
      </w:r>
      <w:r w:rsidR="004F2E9A">
        <w:t>the</w:t>
      </w:r>
      <w:r w:rsidR="009068E3">
        <w:t xml:space="preserve"> </w:t>
      </w:r>
      <w:r w:rsidR="00686F1A">
        <w:t>minutes include</w:t>
      </w:r>
      <w:r w:rsidR="009068E3">
        <w:t xml:space="preserve"> the</w:t>
      </w:r>
      <w:r w:rsidR="004F2E9A">
        <w:t xml:space="preserve"> acronym “TRPT”</w:t>
      </w:r>
      <w:r w:rsidR="009068E3">
        <w:t>, which</w:t>
      </w:r>
      <w:r w:rsidR="004F2E9A">
        <w:t xml:space="preserve"> is an abbreviation for “Temporary Reduction in Percentage of Time”</w:t>
      </w:r>
      <w:r w:rsidR="00BA592C">
        <w:t xml:space="preserve">. </w:t>
      </w:r>
      <w:r w:rsidR="003C13ED">
        <w:t xml:space="preserve"> </w:t>
      </w:r>
      <w:r w:rsidR="00761CAF" w:rsidRPr="00283483">
        <w:rPr>
          <w:highlight w:val="yellow"/>
        </w:rPr>
        <w:t>Action</w:t>
      </w:r>
      <w:r w:rsidR="00BC5E58" w:rsidRPr="00283483">
        <w:rPr>
          <w:highlight w:val="yellow"/>
          <w:vertAlign w:val="superscript"/>
        </w:rPr>
        <w:t>1</w:t>
      </w:r>
      <w:r w:rsidR="009068E3">
        <w:t>: The</w:t>
      </w:r>
      <w:r w:rsidR="00761CAF">
        <w:t xml:space="preserve"> minutes </w:t>
      </w:r>
      <w:r w:rsidR="001366C2">
        <w:t xml:space="preserve">from </w:t>
      </w:r>
      <w:r w:rsidR="004F2E9A">
        <w:t>November 11</w:t>
      </w:r>
      <w:r w:rsidR="00B55238">
        <w:t xml:space="preserve">, 2019 will be updated to include “Temporary Reduction in Percentage of Time” and </w:t>
      </w:r>
      <w:r w:rsidR="00761CAF">
        <w:t>posted to the Academic Affairs website.</w:t>
      </w:r>
      <w:r w:rsidR="004B5A66">
        <w:t xml:space="preserve"> </w:t>
      </w:r>
    </w:p>
    <w:p w14:paraId="642DF00A" w14:textId="4FC96988" w:rsidR="00565E30" w:rsidRDefault="00565E30" w:rsidP="003C13ED">
      <w:pPr>
        <w:pStyle w:val="ListParagraph"/>
      </w:pPr>
    </w:p>
    <w:p w14:paraId="35D663AC" w14:textId="77777777" w:rsidR="007C3860" w:rsidRPr="007C3860" w:rsidRDefault="007D1B72" w:rsidP="007C3860">
      <w:pPr>
        <w:pStyle w:val="ListParagraph"/>
        <w:numPr>
          <w:ilvl w:val="0"/>
          <w:numId w:val="19"/>
        </w:numPr>
        <w:contextualSpacing/>
        <w:rPr>
          <w:rFonts w:cstheme="minorHAnsi"/>
          <w:color w:val="000000" w:themeColor="text1"/>
          <w:sz w:val="21"/>
          <w:szCs w:val="21"/>
        </w:rPr>
      </w:pPr>
      <w:r>
        <w:rPr>
          <w:rFonts w:ascii="Tw Cen MT" w:hAnsi="Tw Cen MT"/>
          <w:b/>
          <w:color w:val="215868"/>
        </w:rPr>
        <w:t>HSCP Scales</w:t>
      </w:r>
    </w:p>
    <w:p w14:paraId="1FBD5559" w14:textId="7EA1791F" w:rsidR="007D1B72" w:rsidRPr="00E2678A" w:rsidRDefault="004B51DF" w:rsidP="007C3860">
      <w:pPr>
        <w:pStyle w:val="ListParagraph"/>
        <w:numPr>
          <w:ilvl w:val="0"/>
          <w:numId w:val="21"/>
        </w:numPr>
        <w:ind w:left="1080"/>
        <w:rPr>
          <w:rFonts w:asciiTheme="minorHAnsi" w:hAnsiTheme="minorHAnsi" w:cstheme="minorHAnsi"/>
          <w:b/>
        </w:rPr>
      </w:pPr>
      <w:r w:rsidRPr="00E2678A">
        <w:rPr>
          <w:rFonts w:asciiTheme="minorHAnsi" w:hAnsiTheme="minorHAnsi" w:cstheme="minorHAnsi"/>
          <w:b/>
        </w:rPr>
        <w:t>Imp</w:t>
      </w:r>
      <w:r w:rsidR="007D1B72" w:rsidRPr="00E2678A">
        <w:rPr>
          <w:rFonts w:asciiTheme="minorHAnsi" w:hAnsiTheme="minorHAnsi" w:cstheme="minorHAnsi"/>
          <w:b/>
        </w:rPr>
        <w:t>act of Unfunded Increases 2012-2019</w:t>
      </w:r>
    </w:p>
    <w:p w14:paraId="3A4F4013" w14:textId="39E4105F" w:rsidR="00640E6F" w:rsidRDefault="00640E6F" w:rsidP="007C3860">
      <w:pPr>
        <w:pStyle w:val="ListParagraph"/>
        <w:ind w:left="1080"/>
        <w:rPr>
          <w:rFonts w:cs="Calibri"/>
          <w:color w:val="000000"/>
        </w:rPr>
      </w:pPr>
      <w:r>
        <w:t xml:space="preserve">The Dean’s Office </w:t>
      </w:r>
      <w:r w:rsidR="008908C6">
        <w:t xml:space="preserve">has completed an in-depth review of the </w:t>
      </w:r>
      <w:r>
        <w:rPr>
          <w:rFonts w:cs="Calibri"/>
          <w:color w:val="000000"/>
        </w:rPr>
        <w:t>impact of HSCP salary scale increases</w:t>
      </w:r>
      <w:r w:rsidR="000F7518">
        <w:rPr>
          <w:rFonts w:cs="Calibri"/>
          <w:color w:val="000000"/>
        </w:rPr>
        <w:t xml:space="preserve"> on the School</w:t>
      </w:r>
      <w:r>
        <w:rPr>
          <w:rFonts w:cs="Calibri"/>
          <w:color w:val="000000"/>
        </w:rPr>
        <w:t xml:space="preserve">. Associate Dean Kearney </w:t>
      </w:r>
      <w:r w:rsidR="006D6715">
        <w:rPr>
          <w:rFonts w:cs="Calibri"/>
          <w:color w:val="000000"/>
        </w:rPr>
        <w:t xml:space="preserve">shared </w:t>
      </w:r>
      <w:r w:rsidR="000F7518">
        <w:rPr>
          <w:rFonts w:cs="Calibri"/>
          <w:color w:val="000000"/>
        </w:rPr>
        <w:t>a</w:t>
      </w:r>
      <w:r w:rsidR="006D6715">
        <w:rPr>
          <w:rFonts w:cs="Calibri"/>
          <w:color w:val="000000"/>
        </w:rPr>
        <w:t xml:space="preserve"> PowerPoint slide deck</w:t>
      </w:r>
      <w:r w:rsidR="008908C6">
        <w:rPr>
          <w:rFonts w:cs="Calibri"/>
          <w:color w:val="000000"/>
        </w:rPr>
        <w:t xml:space="preserve"> which includes </w:t>
      </w:r>
      <w:r w:rsidR="006D6715">
        <w:rPr>
          <w:rFonts w:cs="Calibri"/>
          <w:color w:val="000000"/>
        </w:rPr>
        <w:t>the chronology of HSCP faculty salary programs from 2011 to 2019,</w:t>
      </w:r>
      <w:r w:rsidR="0047514E">
        <w:rPr>
          <w:rFonts w:cs="Calibri"/>
          <w:color w:val="000000"/>
        </w:rPr>
        <w:t xml:space="preserve"> historical employer contributions to UCRP, number of paid faculty from 2014 to 2019, and the </w:t>
      </w:r>
      <w:r w:rsidR="001C3B1A">
        <w:rPr>
          <w:rFonts w:cs="Calibri"/>
          <w:color w:val="000000"/>
        </w:rPr>
        <w:t xml:space="preserve">intricate </w:t>
      </w:r>
      <w:r w:rsidR="0047514E">
        <w:rPr>
          <w:rFonts w:cs="Calibri"/>
          <w:color w:val="000000"/>
        </w:rPr>
        <w:t xml:space="preserve">methodology. </w:t>
      </w:r>
      <w:r w:rsidR="00DA3BEC">
        <w:rPr>
          <w:rFonts w:cs="Calibri"/>
          <w:color w:val="000000"/>
        </w:rPr>
        <w:t>Results show that</w:t>
      </w:r>
      <w:r w:rsidR="000F7518">
        <w:rPr>
          <w:rFonts w:cs="Calibri"/>
          <w:color w:val="000000"/>
        </w:rPr>
        <w:t xml:space="preserve"> the unfunded HSCP salary scale adjustments and increased UCRP rates have created an escalating, cumulative, and obligatory financial burden on Departments. Associate</w:t>
      </w:r>
      <w:r w:rsidR="001C3B1A">
        <w:rPr>
          <w:rFonts w:cs="Calibri"/>
          <w:color w:val="000000"/>
        </w:rPr>
        <w:t xml:space="preserve"> Dean</w:t>
      </w:r>
      <w:r w:rsidR="000F7518">
        <w:rPr>
          <w:rFonts w:cs="Calibri"/>
          <w:color w:val="000000"/>
        </w:rPr>
        <w:t xml:space="preserve"> Kearney </w:t>
      </w:r>
      <w:r w:rsidR="00DA3BEC">
        <w:rPr>
          <w:rFonts w:cs="Calibri"/>
          <w:color w:val="000000"/>
        </w:rPr>
        <w:t>welcomed input from the Committee membe</w:t>
      </w:r>
      <w:r w:rsidR="000F7518">
        <w:rPr>
          <w:rFonts w:cs="Calibri"/>
          <w:color w:val="000000"/>
        </w:rPr>
        <w:t>rs. A</w:t>
      </w:r>
      <w:r w:rsidR="00054EDC">
        <w:rPr>
          <w:rFonts w:cs="Calibri"/>
          <w:color w:val="000000"/>
        </w:rPr>
        <w:t>sso</w:t>
      </w:r>
      <w:r w:rsidR="000F7518">
        <w:rPr>
          <w:rFonts w:cs="Calibri"/>
          <w:color w:val="000000"/>
        </w:rPr>
        <w:t>c</w:t>
      </w:r>
      <w:r w:rsidR="00DA3BEC">
        <w:rPr>
          <w:rFonts w:cs="Calibri"/>
          <w:color w:val="000000"/>
        </w:rPr>
        <w:t xml:space="preserve">iate Dean Kearney, </w:t>
      </w:r>
      <w:r w:rsidR="000F7518">
        <w:rPr>
          <w:rFonts w:cs="Calibri"/>
          <w:color w:val="000000"/>
        </w:rPr>
        <w:t xml:space="preserve">Associate Dean </w:t>
      </w:r>
      <w:r w:rsidR="00DA3BEC">
        <w:rPr>
          <w:rFonts w:cs="Calibri"/>
          <w:color w:val="000000"/>
        </w:rPr>
        <w:t>Nordberg</w:t>
      </w:r>
      <w:r w:rsidR="000F7518">
        <w:rPr>
          <w:rFonts w:cs="Calibri"/>
          <w:color w:val="000000"/>
        </w:rPr>
        <w:t>,</w:t>
      </w:r>
      <w:r w:rsidR="00DA3BEC">
        <w:rPr>
          <w:rFonts w:cs="Calibri"/>
          <w:color w:val="000000"/>
        </w:rPr>
        <w:t xml:space="preserve"> and </w:t>
      </w:r>
      <w:r w:rsidR="000F7518">
        <w:rPr>
          <w:rFonts w:cs="Calibri"/>
          <w:color w:val="000000"/>
        </w:rPr>
        <w:t>Ms. Koeplin will present Department-specific data to the D</w:t>
      </w:r>
      <w:r w:rsidR="00DA3BEC">
        <w:rPr>
          <w:rFonts w:cs="Calibri"/>
          <w:color w:val="000000"/>
        </w:rPr>
        <w:t>epartments in June.</w:t>
      </w:r>
    </w:p>
    <w:p w14:paraId="23BDC422" w14:textId="306A7095" w:rsidR="00054EDC" w:rsidRPr="00E2678A" w:rsidRDefault="007D1B72" w:rsidP="007C3860">
      <w:pPr>
        <w:pStyle w:val="ListParagraph"/>
        <w:numPr>
          <w:ilvl w:val="0"/>
          <w:numId w:val="21"/>
        </w:numPr>
        <w:ind w:left="1080"/>
        <w:rPr>
          <w:rFonts w:asciiTheme="minorHAnsi" w:hAnsiTheme="minorHAnsi" w:cstheme="minorHAnsi"/>
          <w:b/>
        </w:rPr>
      </w:pPr>
      <w:r w:rsidRPr="00E2678A">
        <w:rPr>
          <w:rFonts w:ascii="Tw Cen MT" w:hAnsi="Tw Cen MT"/>
          <w:b/>
        </w:rPr>
        <w:t xml:space="preserve">2020 Salary Program </w:t>
      </w:r>
    </w:p>
    <w:p w14:paraId="3B8A9DBF" w14:textId="39991982" w:rsidR="005F5D4E" w:rsidRDefault="00054EDC" w:rsidP="007C3860">
      <w:pPr>
        <w:pStyle w:val="ListParagraph"/>
        <w:ind w:left="1080"/>
      </w:pPr>
      <w:r>
        <w:t xml:space="preserve">Due to significant financial impact of the coronavirus pandemic on UC, the HSCP scales are expected to remain the same for FY 20-21. A “flat salary” approach has been adopted by the </w:t>
      </w:r>
      <w:r>
        <w:lastRenderedPageBreak/>
        <w:t>other professional schools. At the time of the meeting, the School of Pharmacy was still undecided on the approach. Since the meeting</w:t>
      </w:r>
      <w:r w:rsidR="008905CB">
        <w:t xml:space="preserve"> occurred, SOP leadership has provided </w:t>
      </w:r>
      <w:r w:rsidR="003B16D6">
        <w:t xml:space="preserve">guidance </w:t>
      </w:r>
      <w:r w:rsidR="008905CB">
        <w:t xml:space="preserve">allowing Departments </w:t>
      </w:r>
      <w:r w:rsidR="001C3B1A">
        <w:t xml:space="preserve">to have </w:t>
      </w:r>
      <w:r w:rsidR="008905CB">
        <w:t xml:space="preserve">an </w:t>
      </w:r>
      <w:r w:rsidR="008905CB" w:rsidRPr="008905CB">
        <w:rPr>
          <w:rFonts w:cs="Calibri"/>
          <w:color w:val="000000"/>
        </w:rPr>
        <w:t xml:space="preserve">individualized approach to the negotiated Y salaries based on previously utilized Department-level parameters (eg. grantsmanship, market parity, teaching &amp; service contributions) while ensuring equity in pay among faculty. </w:t>
      </w:r>
    </w:p>
    <w:p w14:paraId="67B86D3D" w14:textId="77777777" w:rsidR="005F5D4E" w:rsidRDefault="005F5D4E" w:rsidP="004B51DF">
      <w:pPr>
        <w:pStyle w:val="ListParagraph"/>
      </w:pPr>
    </w:p>
    <w:p w14:paraId="3AC63A93" w14:textId="222CDE9B" w:rsidR="002E6689" w:rsidRPr="00283483" w:rsidRDefault="007C3860" w:rsidP="00283483">
      <w:pPr>
        <w:pStyle w:val="ListParagraph"/>
        <w:numPr>
          <w:ilvl w:val="0"/>
          <w:numId w:val="19"/>
        </w:numPr>
        <w:contextualSpacing/>
        <w:rPr>
          <w:rFonts w:cstheme="minorHAnsi"/>
          <w:color w:val="000000" w:themeColor="text1"/>
          <w:sz w:val="21"/>
          <w:szCs w:val="21"/>
        </w:rPr>
      </w:pPr>
      <w:r>
        <w:rPr>
          <w:rFonts w:ascii="Tw Cen MT" w:hAnsi="Tw Cen MT"/>
          <w:b/>
          <w:color w:val="215868"/>
        </w:rPr>
        <w:t>In Residence Task Force</w:t>
      </w:r>
      <w:r w:rsidR="002E6689" w:rsidRPr="00283483">
        <w:rPr>
          <w:rFonts w:cstheme="minorHAnsi"/>
          <w:color w:val="000000" w:themeColor="text1"/>
          <w:sz w:val="21"/>
          <w:szCs w:val="21"/>
        </w:rPr>
        <w:t> </w:t>
      </w:r>
    </w:p>
    <w:p w14:paraId="4F951430" w14:textId="668CD0E2" w:rsidR="0039704B" w:rsidRDefault="00770C8B" w:rsidP="0056207D">
      <w:pPr>
        <w:pStyle w:val="PlainText"/>
        <w:ind w:left="720"/>
      </w:pPr>
      <w:r>
        <w:t>Associate</w:t>
      </w:r>
      <w:r w:rsidR="00C62989">
        <w:t xml:space="preserve"> Dean Kearney is a member of a C</w:t>
      </w:r>
      <w:r>
        <w:t>ommittee revisiting UCSF’s In Residence Task Force Report.</w:t>
      </w:r>
      <w:r w:rsidR="00C62989">
        <w:t xml:space="preserve"> </w:t>
      </w:r>
      <w:r w:rsidR="0039704B">
        <w:t>A review of campus experiences revealed</w:t>
      </w:r>
      <w:r w:rsidR="00A85379">
        <w:t xml:space="preserve"> a mix of approaches when establishing a terminal appointment. Below is the summary of campus practices as discussed with the Comp Plan Committee.</w:t>
      </w:r>
    </w:p>
    <w:p w14:paraId="11435230" w14:textId="7C1C5D0B" w:rsidR="0039704B" w:rsidRDefault="0039704B" w:rsidP="0039704B">
      <w:pPr>
        <w:pStyle w:val="PlainText"/>
        <w:numPr>
          <w:ilvl w:val="0"/>
          <w:numId w:val="22"/>
        </w:numPr>
      </w:pPr>
      <w:r>
        <w:t>“Day1/Dollar 1” – Provide the faculty member whatever amount of support needed to keep them whole (at X+X’) for the 12-month terminal notice period; meets the intent of the policy</w:t>
      </w:r>
    </w:p>
    <w:p w14:paraId="61FB310C" w14:textId="4859F21A" w:rsidR="001303CC" w:rsidRDefault="0039704B" w:rsidP="0039704B">
      <w:pPr>
        <w:pStyle w:val="PlainText"/>
        <w:numPr>
          <w:ilvl w:val="0"/>
          <w:numId w:val="22"/>
        </w:numPr>
      </w:pPr>
      <w:r>
        <w:t>“Bank” – Provide the faculty member with funds equivalent to 12-months’ support at the X+X’ level, even if that amount exceeds what is necessary to “keep them whole” and/or may result in supporting the faculty for more than 12 months; exceeds the minimum requirement.</w:t>
      </w:r>
    </w:p>
    <w:p w14:paraId="3DA9B87F" w14:textId="4B03C645" w:rsidR="0039704B" w:rsidRDefault="0039704B" w:rsidP="0056207D">
      <w:pPr>
        <w:pStyle w:val="PlainText"/>
        <w:ind w:left="720"/>
      </w:pPr>
      <w:r>
        <w:t xml:space="preserve">The School will need to determine </w:t>
      </w:r>
      <w:r w:rsidR="00A85379">
        <w:t xml:space="preserve">up front </w:t>
      </w:r>
      <w:r>
        <w:t>which approach our School will take and incorpora</w:t>
      </w:r>
      <w:r w:rsidR="00A85379">
        <w:t>te</w:t>
      </w:r>
      <w:r>
        <w:t xml:space="preserve"> into the Compensation Plan.</w:t>
      </w:r>
    </w:p>
    <w:p w14:paraId="506AF90F" w14:textId="77777777" w:rsidR="00A85379" w:rsidRDefault="00A85379" w:rsidP="0056207D">
      <w:pPr>
        <w:pStyle w:val="PlainText"/>
        <w:ind w:left="720"/>
      </w:pPr>
    </w:p>
    <w:p w14:paraId="7C957A17" w14:textId="2BA307E3" w:rsidR="001303CC" w:rsidRPr="00ED7B66" w:rsidRDefault="00096AD3" w:rsidP="00283483">
      <w:pPr>
        <w:pStyle w:val="ListParagraph"/>
        <w:numPr>
          <w:ilvl w:val="0"/>
          <w:numId w:val="19"/>
        </w:numPr>
        <w:contextualSpacing/>
        <w:rPr>
          <w:rFonts w:ascii="Tw Cen MT" w:hAnsi="Tw Cen MT"/>
          <w:b/>
          <w:color w:val="215868"/>
        </w:rPr>
      </w:pPr>
      <w:r>
        <w:rPr>
          <w:rFonts w:ascii="Tw Cen MT" w:hAnsi="Tw Cen MT"/>
          <w:b/>
          <w:color w:val="215868"/>
        </w:rPr>
        <w:t>Compensation Plan 2020 – approved!</w:t>
      </w:r>
    </w:p>
    <w:p w14:paraId="22752DF3" w14:textId="1A78A58C" w:rsidR="00770D9D" w:rsidRDefault="00770D9D" w:rsidP="00BE0A0D">
      <w:pPr>
        <w:ind w:left="720"/>
        <w:rPr>
          <w:rFonts w:cs="Calibri"/>
          <w:color w:val="000000"/>
        </w:rPr>
      </w:pPr>
      <w:r>
        <w:t>T</w:t>
      </w:r>
      <w:r>
        <w:rPr>
          <w:rFonts w:cs="Calibri"/>
          <w:color w:val="000000"/>
        </w:rPr>
        <w:t>he Committee voted in favor of clarifying the Compensation Plan so that wherever periods of time are referenced, that the actual duration of time is not misconst</w:t>
      </w:r>
      <w:r w:rsidR="001C3B1A">
        <w:rPr>
          <w:rFonts w:cs="Calibri"/>
          <w:color w:val="000000"/>
        </w:rPr>
        <w:t>rued by any HSCP reader. The Ch</w:t>
      </w:r>
      <w:r>
        <w:rPr>
          <w:rFonts w:cs="Calibri"/>
          <w:color w:val="000000"/>
        </w:rPr>
        <w:t>a</w:t>
      </w:r>
      <w:r w:rsidR="001C3B1A">
        <w:rPr>
          <w:rFonts w:cs="Calibri"/>
          <w:color w:val="000000"/>
        </w:rPr>
        <w:t>i</w:t>
      </w:r>
      <w:r>
        <w:rPr>
          <w:rFonts w:cs="Calibri"/>
          <w:color w:val="000000"/>
        </w:rPr>
        <w:t xml:space="preserve">rs were given the opportunity to review and comment on the proposed changes. All </w:t>
      </w:r>
      <w:r w:rsidR="001C3B1A">
        <w:rPr>
          <w:rFonts w:cs="Calibri"/>
          <w:color w:val="000000"/>
        </w:rPr>
        <w:t>clarifications</w:t>
      </w:r>
      <w:r>
        <w:rPr>
          <w:rFonts w:cs="Calibri"/>
          <w:color w:val="000000"/>
        </w:rPr>
        <w:t xml:space="preserve"> were approved by the Chairs without comment. Dean Guglielmo approved the updated Plan, effective July 1,</w:t>
      </w:r>
      <w:r w:rsidR="00316078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2020. </w:t>
      </w:r>
      <w:r w:rsidRPr="00770D9D">
        <w:rPr>
          <w:rFonts w:cs="Calibri"/>
          <w:color w:val="000000"/>
          <w:highlight w:val="yellow"/>
        </w:rPr>
        <w:t>Action</w:t>
      </w:r>
      <w:r w:rsidR="00921CF9" w:rsidRPr="00921CF9">
        <w:rPr>
          <w:rFonts w:cs="Calibri"/>
          <w:color w:val="000000"/>
          <w:highlight w:val="yellow"/>
          <w:vertAlign w:val="superscript"/>
        </w:rPr>
        <w:t>2</w:t>
      </w:r>
      <w:r>
        <w:rPr>
          <w:rFonts w:cs="Calibri"/>
          <w:color w:val="000000"/>
        </w:rPr>
        <w:t xml:space="preserve">: Ms. Koeplin will send a communication to all Plan members summarizing the </w:t>
      </w:r>
      <w:r w:rsidR="00921CF9">
        <w:rPr>
          <w:rFonts w:cs="Calibri"/>
          <w:color w:val="000000"/>
        </w:rPr>
        <w:t xml:space="preserve">Compensation Plan 2020 </w:t>
      </w:r>
      <w:r>
        <w:rPr>
          <w:rFonts w:cs="Calibri"/>
          <w:color w:val="000000"/>
        </w:rPr>
        <w:t>changes and providing the updated Plan.</w:t>
      </w:r>
    </w:p>
    <w:p w14:paraId="25179FB7" w14:textId="2F5128A4" w:rsidR="00770D9D" w:rsidRDefault="00770D9D" w:rsidP="00770D9D">
      <w:pPr>
        <w:pStyle w:val="PlainText"/>
        <w:ind w:firstLine="720"/>
      </w:pPr>
      <w:r>
        <w:t xml:space="preserve"> </w:t>
      </w:r>
    </w:p>
    <w:p w14:paraId="47737305" w14:textId="2B8B0E58" w:rsidR="00FE0E1A" w:rsidRPr="006E2EBD" w:rsidRDefault="007E7DFA" w:rsidP="00283483">
      <w:pPr>
        <w:pStyle w:val="ListParagraph"/>
        <w:numPr>
          <w:ilvl w:val="0"/>
          <w:numId w:val="19"/>
        </w:numPr>
        <w:contextualSpacing/>
        <w:rPr>
          <w:rFonts w:cstheme="minorHAnsi"/>
          <w:color w:val="000000" w:themeColor="text1"/>
          <w:sz w:val="21"/>
          <w:szCs w:val="21"/>
        </w:rPr>
      </w:pPr>
      <w:r>
        <w:rPr>
          <w:rFonts w:ascii="Tw Cen MT" w:hAnsi="Tw Cen MT"/>
          <w:b/>
          <w:color w:val="215868"/>
        </w:rPr>
        <w:t>COVID-19 Leave Guidance</w:t>
      </w:r>
    </w:p>
    <w:p w14:paraId="0C126A64" w14:textId="4F1FBA2C" w:rsidR="007E7DFA" w:rsidRDefault="007E7DFA" w:rsidP="00283483">
      <w:pPr>
        <w:pStyle w:val="PlainText"/>
        <w:numPr>
          <w:ilvl w:val="1"/>
          <w:numId w:val="19"/>
        </w:numPr>
      </w:pPr>
      <w:r w:rsidRPr="001563B7">
        <w:rPr>
          <w:b/>
        </w:rPr>
        <w:t>Extended Illness</w:t>
      </w:r>
      <w:r w:rsidR="004E5615">
        <w:t xml:space="preserve"> – </w:t>
      </w:r>
      <w:r w:rsidR="001563B7">
        <w:t>Up to 180 calendar days</w:t>
      </w:r>
      <w:r w:rsidR="00E2678A">
        <w:t xml:space="preserve"> of paid</w:t>
      </w:r>
      <w:r w:rsidR="001C3B1A">
        <w:t xml:space="preserve"> medical leave, </w:t>
      </w:r>
      <w:r w:rsidR="001563B7">
        <w:t xml:space="preserve">consecutive or intermittent </w:t>
      </w:r>
      <w:r w:rsidR="00E2678A">
        <w:t>leave</w:t>
      </w:r>
      <w:r w:rsidR="001C3B1A">
        <w:t>,</w:t>
      </w:r>
      <w:r w:rsidR="00E2678A">
        <w:t xml:space="preserve"> </w:t>
      </w:r>
      <w:r w:rsidR="001563B7">
        <w:t>at the full rate of pay (X, X’+Y</w:t>
      </w:r>
      <w:r w:rsidR="00E2678A">
        <w:t>).</w:t>
      </w:r>
      <w:r w:rsidR="001563B7">
        <w:t xml:space="preserve"> </w:t>
      </w:r>
      <w:r w:rsidR="004E5615">
        <w:t>Available to Plan Participants who are unable to work for reasons of extended personal illness, injury or disability shall be granted.</w:t>
      </w:r>
    </w:p>
    <w:p w14:paraId="728F1B57" w14:textId="12A53EC5" w:rsidR="007E7DFA" w:rsidRDefault="007E7DFA" w:rsidP="00283483">
      <w:pPr>
        <w:pStyle w:val="PlainText"/>
        <w:numPr>
          <w:ilvl w:val="1"/>
          <w:numId w:val="19"/>
        </w:numPr>
      </w:pPr>
      <w:r w:rsidRPr="001563B7">
        <w:rPr>
          <w:b/>
        </w:rPr>
        <w:t>Paid Administrative Leave (PAL</w:t>
      </w:r>
      <w:r>
        <w:t>)</w:t>
      </w:r>
      <w:r w:rsidR="001563B7">
        <w:t xml:space="preserve"> – Up to 128 hours of paid leave. May be used for COVID-19-related absences including: own or family member’s illness; lack of work; and/or childcare/school closures</w:t>
      </w:r>
    </w:p>
    <w:p w14:paraId="52825535" w14:textId="4879A2B9" w:rsidR="00CD349D" w:rsidRPr="00BD7ED0" w:rsidRDefault="007E7DFA" w:rsidP="00283483">
      <w:pPr>
        <w:pStyle w:val="PlainText"/>
        <w:numPr>
          <w:ilvl w:val="1"/>
          <w:numId w:val="19"/>
        </w:numPr>
      </w:pPr>
      <w:r w:rsidRPr="001563B7">
        <w:rPr>
          <w:b/>
        </w:rPr>
        <w:t>Families First C</w:t>
      </w:r>
      <w:r w:rsidR="001563B7" w:rsidRPr="001563B7">
        <w:rPr>
          <w:b/>
        </w:rPr>
        <w:t>oronavirus Response Act (FFCRA)</w:t>
      </w:r>
      <w:r w:rsidR="001563B7">
        <w:t xml:space="preserve"> – Up to 80 hours of paid leave. May only be used when work is available, but unable to work due to: quarantine/self-</w:t>
      </w:r>
      <w:r w:rsidR="00316078">
        <w:t>isolation</w:t>
      </w:r>
      <w:r w:rsidR="001563B7">
        <w:t>; told by provider to self-quarantine; or when experiencing COVID-19 symptoms.</w:t>
      </w:r>
    </w:p>
    <w:p w14:paraId="6D0BB23C" w14:textId="77777777" w:rsidR="0044111F" w:rsidRDefault="0044111F" w:rsidP="009E496C">
      <w:pPr>
        <w:pStyle w:val="PlainText"/>
        <w:ind w:left="720"/>
      </w:pPr>
    </w:p>
    <w:p w14:paraId="4EF5262E" w14:textId="04FEB36B" w:rsidR="00A60B09" w:rsidRPr="00A60B09" w:rsidRDefault="00A60B09" w:rsidP="00A60B09">
      <w:pPr>
        <w:pStyle w:val="ListParagraph"/>
        <w:numPr>
          <w:ilvl w:val="0"/>
          <w:numId w:val="19"/>
        </w:numPr>
        <w:contextualSpacing/>
        <w:rPr>
          <w:rFonts w:cstheme="minorHAnsi"/>
          <w:color w:val="000000" w:themeColor="text1"/>
          <w:sz w:val="21"/>
          <w:szCs w:val="21"/>
        </w:rPr>
      </w:pPr>
      <w:r>
        <w:rPr>
          <w:rFonts w:ascii="Tw Cen MT" w:hAnsi="Tw Cen MT"/>
          <w:b/>
          <w:color w:val="215868"/>
        </w:rPr>
        <w:t>OPA Clarification on Co</w:t>
      </w:r>
      <w:r w:rsidR="00D92D46">
        <w:rPr>
          <w:rFonts w:ascii="Tw Cen MT" w:hAnsi="Tw Cen MT"/>
          <w:b/>
          <w:color w:val="215868"/>
        </w:rPr>
        <w:t>-</w:t>
      </w:r>
      <w:r>
        <w:rPr>
          <w:rFonts w:ascii="Tw Cen MT" w:hAnsi="Tw Cen MT"/>
          <w:b/>
          <w:color w:val="215868"/>
        </w:rPr>
        <w:t>founding</w:t>
      </w:r>
    </w:p>
    <w:p w14:paraId="7526DB94" w14:textId="7CB73E8B" w:rsidR="00A60B09" w:rsidRDefault="00D92D46" w:rsidP="00A60B09">
      <w:pPr>
        <w:pStyle w:val="ListParagraph"/>
        <w:ind w:left="744"/>
        <w:contextualSpacing/>
      </w:pPr>
      <w:r>
        <w:t>Mr. Babcock clarified that faculty are required to report co-founding roles even after a company has b</w:t>
      </w:r>
      <w:r w:rsidR="00E11BDC">
        <w:t xml:space="preserve">een </w:t>
      </w:r>
      <w:bookmarkStart w:id="0" w:name="_GoBack"/>
      <w:r w:rsidR="00E11BDC" w:rsidRPr="00063AA0">
        <w:rPr>
          <w:color w:val="000000" w:themeColor="text1"/>
        </w:rPr>
        <w:t>established.</w:t>
      </w:r>
      <w:r w:rsidR="00063AA0" w:rsidRPr="00063AA0">
        <w:rPr>
          <w:color w:val="000000" w:themeColor="text1"/>
        </w:rPr>
        <w:t xml:space="preserve"> </w:t>
      </w:r>
      <w:r w:rsidR="00063AA0" w:rsidRPr="00063AA0">
        <w:rPr>
          <w:color w:val="000000" w:themeColor="text1"/>
        </w:rPr>
        <w:t>Even after co-founding activities have ended</w:t>
      </w:r>
      <w:r w:rsidR="00E11BDC" w:rsidRPr="00063AA0">
        <w:rPr>
          <w:color w:val="000000" w:themeColor="text1"/>
        </w:rPr>
        <w:t xml:space="preserve">, reporting </w:t>
      </w:r>
      <w:bookmarkEnd w:id="0"/>
      <w:r w:rsidR="00E11BDC">
        <w:t xml:space="preserve">the role </w:t>
      </w:r>
      <w:r w:rsidR="001C3B1A">
        <w:t>is</w:t>
      </w:r>
      <w:r w:rsidR="00E11BDC">
        <w:t xml:space="preserve"> still required every year in which the faculty member continues association with the company. </w:t>
      </w:r>
      <w:r>
        <w:t xml:space="preserve"> </w:t>
      </w:r>
      <w:r w:rsidR="00E11BDC">
        <w:t>The approval process</w:t>
      </w:r>
      <w:r w:rsidR="000E5681">
        <w:t xml:space="preserve"> for co-founding</w:t>
      </w:r>
      <w:r w:rsidR="00E11BDC">
        <w:t xml:space="preserve"> will be </w:t>
      </w:r>
      <w:r w:rsidR="00316078">
        <w:t>streamlined</w:t>
      </w:r>
      <w:r w:rsidR="00E11BDC">
        <w:t xml:space="preserve"> </w:t>
      </w:r>
      <w:r w:rsidR="000E5681">
        <w:t>in that the prior year’s approval will be attached to the approval request form in OATS.</w:t>
      </w:r>
    </w:p>
    <w:p w14:paraId="119F3A39" w14:textId="77777777" w:rsidR="00B02D79" w:rsidRPr="00A60B09" w:rsidRDefault="00B02D79" w:rsidP="00A60B09">
      <w:pPr>
        <w:pStyle w:val="ListParagraph"/>
        <w:ind w:left="744"/>
        <w:contextualSpacing/>
        <w:rPr>
          <w:rFonts w:cstheme="minorHAnsi"/>
          <w:color w:val="000000" w:themeColor="text1"/>
          <w:sz w:val="21"/>
          <w:szCs w:val="21"/>
        </w:rPr>
      </w:pPr>
    </w:p>
    <w:p w14:paraId="343E79AA" w14:textId="7C3983A4" w:rsidR="006154EB" w:rsidRPr="00B02D79" w:rsidRDefault="006154EB" w:rsidP="00A60B09">
      <w:pPr>
        <w:pStyle w:val="ListParagraph"/>
        <w:numPr>
          <w:ilvl w:val="0"/>
          <w:numId w:val="19"/>
        </w:numPr>
        <w:contextualSpacing/>
        <w:rPr>
          <w:rFonts w:cstheme="minorHAnsi"/>
          <w:color w:val="000000" w:themeColor="text1"/>
          <w:sz w:val="21"/>
          <w:szCs w:val="21"/>
        </w:rPr>
      </w:pPr>
      <w:r w:rsidRPr="00A60B09">
        <w:rPr>
          <w:rFonts w:ascii="Tw Cen MT" w:hAnsi="Tw Cen MT"/>
          <w:b/>
          <w:color w:val="215868"/>
        </w:rPr>
        <w:lastRenderedPageBreak/>
        <w:t>New/Old Business</w:t>
      </w:r>
    </w:p>
    <w:p w14:paraId="457C32B9" w14:textId="4C375B98" w:rsidR="00B02D79" w:rsidRDefault="00B02D79" w:rsidP="00B02D79">
      <w:pPr>
        <w:pStyle w:val="ListParagraph"/>
        <w:ind w:left="744"/>
        <w:contextualSpacing/>
      </w:pPr>
      <w:r w:rsidRPr="00B02D79">
        <w:t>None</w:t>
      </w:r>
    </w:p>
    <w:p w14:paraId="02C1C1BF" w14:textId="77777777" w:rsidR="00B02D79" w:rsidRPr="00B02D79" w:rsidRDefault="00B02D79" w:rsidP="00B02D79">
      <w:pPr>
        <w:pStyle w:val="ListParagraph"/>
        <w:ind w:left="744"/>
        <w:contextualSpacing/>
      </w:pPr>
    </w:p>
    <w:p w14:paraId="5BCE315E" w14:textId="34D983A0" w:rsidR="006154EB" w:rsidRPr="00B02D79" w:rsidRDefault="00B02D79" w:rsidP="00B02D79">
      <w:pPr>
        <w:pStyle w:val="ListParagraph"/>
        <w:numPr>
          <w:ilvl w:val="0"/>
          <w:numId w:val="19"/>
        </w:numPr>
        <w:contextualSpacing/>
        <w:rPr>
          <w:rFonts w:cstheme="minorHAnsi"/>
          <w:color w:val="000000" w:themeColor="text1"/>
          <w:sz w:val="21"/>
          <w:szCs w:val="21"/>
        </w:rPr>
      </w:pPr>
      <w:r>
        <w:rPr>
          <w:rFonts w:ascii="Tw Cen MT" w:hAnsi="Tw Cen MT"/>
          <w:b/>
          <w:color w:val="215868"/>
        </w:rPr>
        <w:t xml:space="preserve">Next Meeting: </w:t>
      </w:r>
      <w:r>
        <w:rPr>
          <w:rFonts w:eastAsiaTheme="minorHAnsi" w:cstheme="minorBidi"/>
          <w:szCs w:val="21"/>
        </w:rPr>
        <w:t>November</w:t>
      </w:r>
      <w:r w:rsidR="000D4388" w:rsidRPr="00B02D79">
        <w:rPr>
          <w:rFonts w:eastAsiaTheme="minorHAnsi" w:cstheme="minorBidi"/>
          <w:szCs w:val="21"/>
        </w:rPr>
        <w:t xml:space="preserve"> 2020</w:t>
      </w:r>
      <w:r w:rsidR="006154EB" w:rsidRPr="00B02D79">
        <w:rPr>
          <w:rFonts w:eastAsiaTheme="minorHAnsi" w:cstheme="minorBidi"/>
          <w:szCs w:val="21"/>
        </w:rPr>
        <w:t>, date TBD</w:t>
      </w:r>
    </w:p>
    <w:p w14:paraId="05623966" w14:textId="0E60D9CD" w:rsidR="006D4752" w:rsidRDefault="006D4752" w:rsidP="006D4752">
      <w:pPr>
        <w:contextualSpacing/>
        <w:rPr>
          <w:rFonts w:eastAsiaTheme="minorHAnsi" w:cstheme="minorBidi"/>
          <w:szCs w:val="21"/>
        </w:rPr>
      </w:pPr>
    </w:p>
    <w:p w14:paraId="79B7B174" w14:textId="77777777" w:rsidR="006D4752" w:rsidRDefault="006D4752" w:rsidP="006D4752"/>
    <w:p w14:paraId="171FBB56" w14:textId="77777777" w:rsidR="006D4752" w:rsidRPr="00BA5E7B" w:rsidRDefault="006D4752" w:rsidP="006D4752">
      <w:pPr>
        <w:rPr>
          <w:rFonts w:ascii="Tw Cen MT" w:hAnsi="Tw Cen MT"/>
          <w:b/>
          <w:color w:val="215868"/>
        </w:rPr>
      </w:pPr>
      <w:r w:rsidRPr="00BA5E7B">
        <w:rPr>
          <w:rFonts w:ascii="Tw Cen MT" w:hAnsi="Tw Cen MT"/>
          <w:b/>
          <w:color w:val="215868"/>
        </w:rPr>
        <w:t>ACTION ITEMS:</w:t>
      </w:r>
    </w:p>
    <w:p w14:paraId="3CC326F4" w14:textId="1A4CE1E7" w:rsidR="006D4752" w:rsidRPr="00921CF9" w:rsidRDefault="00921CF9" w:rsidP="00921CF9">
      <w:pPr>
        <w:pStyle w:val="ListParagraph"/>
        <w:numPr>
          <w:ilvl w:val="0"/>
          <w:numId w:val="17"/>
        </w:numPr>
        <w:rPr>
          <w:rFonts w:eastAsiaTheme="minorHAnsi" w:cstheme="minorBidi"/>
          <w:szCs w:val="21"/>
        </w:rPr>
      </w:pPr>
      <w:r>
        <w:t>The minutes from November 11, 2019 will be updated to include “Temporary Reduction in Percentage of Time” and posted to the Academic Affairs website.</w:t>
      </w:r>
    </w:p>
    <w:p w14:paraId="12831823" w14:textId="5067C888" w:rsidR="00921CF9" w:rsidRPr="006D4752" w:rsidRDefault="00921CF9" w:rsidP="00921CF9">
      <w:pPr>
        <w:pStyle w:val="ListParagraph"/>
        <w:numPr>
          <w:ilvl w:val="0"/>
          <w:numId w:val="17"/>
        </w:numPr>
        <w:rPr>
          <w:rFonts w:eastAsiaTheme="minorHAnsi" w:cstheme="minorBidi"/>
          <w:szCs w:val="21"/>
        </w:rPr>
      </w:pPr>
      <w:r>
        <w:rPr>
          <w:rFonts w:cs="Calibri"/>
          <w:color w:val="000000"/>
        </w:rPr>
        <w:t>Ms. Koeplin will send a communication to all Plan members summarizing the Compensation Plan 2020 changes and providing the updated Plan.</w:t>
      </w:r>
    </w:p>
    <w:sectPr w:rsidR="00921CF9" w:rsidRPr="006D4752" w:rsidSect="00752A7A">
      <w:footerReference w:type="default" r:id="rId9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8611C" w14:textId="77777777" w:rsidR="00FF3E6B" w:rsidRDefault="00FF3E6B" w:rsidP="000D6984">
      <w:r>
        <w:separator/>
      </w:r>
    </w:p>
  </w:endnote>
  <w:endnote w:type="continuationSeparator" w:id="0">
    <w:p w14:paraId="14D32837" w14:textId="77777777" w:rsidR="00FF3E6B" w:rsidRDefault="00FF3E6B" w:rsidP="000D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3604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33DF45" w14:textId="2D4366F4" w:rsidR="000D6984" w:rsidRDefault="000D698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A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092B4A" w14:textId="77777777" w:rsidR="000D6984" w:rsidRDefault="000D6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61DD9" w14:textId="77777777" w:rsidR="00FF3E6B" w:rsidRDefault="00FF3E6B" w:rsidP="000D6984">
      <w:r>
        <w:separator/>
      </w:r>
    </w:p>
  </w:footnote>
  <w:footnote w:type="continuationSeparator" w:id="0">
    <w:p w14:paraId="5A89D81B" w14:textId="77777777" w:rsidR="00FF3E6B" w:rsidRDefault="00FF3E6B" w:rsidP="000D6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1CE"/>
    <w:multiLevelType w:val="hybridMultilevel"/>
    <w:tmpl w:val="7A2C55BA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01985B51"/>
    <w:multiLevelType w:val="hybridMultilevel"/>
    <w:tmpl w:val="09488732"/>
    <w:lvl w:ilvl="0" w:tplc="18E8C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61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A8C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2D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6B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2C0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C7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E9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02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32736E"/>
    <w:multiLevelType w:val="singleLevel"/>
    <w:tmpl w:val="8B3C09EC"/>
    <w:lvl w:ilvl="0">
      <w:start w:val="1"/>
      <w:numFmt w:val="bullet"/>
      <w:pStyle w:val="Footnote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462001"/>
    <w:multiLevelType w:val="hybridMultilevel"/>
    <w:tmpl w:val="7FB81608"/>
    <w:lvl w:ilvl="0" w:tplc="B7AE0664">
      <w:start w:val="1"/>
      <w:numFmt w:val="decimal"/>
      <w:lvlText w:val="%1."/>
      <w:lvlJc w:val="left"/>
      <w:pPr>
        <w:ind w:left="870" w:hanging="510"/>
      </w:pPr>
      <w:rPr>
        <w:b/>
        <w:color w:val="002060"/>
      </w:rPr>
    </w:lvl>
    <w:lvl w:ilvl="1" w:tplc="261EA626">
      <w:start w:val="1"/>
      <w:numFmt w:val="lowerLetter"/>
      <w:lvlText w:val="%2."/>
      <w:lvlJc w:val="left"/>
      <w:pPr>
        <w:ind w:left="1530" w:hanging="450"/>
      </w:pPr>
      <w:rPr>
        <w:b/>
        <w:color w:val="00206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1EC0738">
      <w:start w:val="1"/>
      <w:numFmt w:val="decimal"/>
      <w:lvlText w:val="%4."/>
      <w:lvlJc w:val="left"/>
      <w:pPr>
        <w:ind w:left="2880" w:hanging="360"/>
      </w:pPr>
      <w:rPr>
        <w:b/>
        <w:color w:val="00206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E6A2D"/>
    <w:multiLevelType w:val="hybridMultilevel"/>
    <w:tmpl w:val="008E8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FE1DBB"/>
    <w:multiLevelType w:val="hybridMultilevel"/>
    <w:tmpl w:val="8B6AFFEC"/>
    <w:lvl w:ilvl="0" w:tplc="CFFA571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76E6A"/>
    <w:multiLevelType w:val="hybridMultilevel"/>
    <w:tmpl w:val="486E197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2506D"/>
    <w:multiLevelType w:val="hybridMultilevel"/>
    <w:tmpl w:val="34225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02389"/>
    <w:multiLevelType w:val="hybridMultilevel"/>
    <w:tmpl w:val="EE24A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366B91"/>
    <w:multiLevelType w:val="hybridMultilevel"/>
    <w:tmpl w:val="E4A42D58"/>
    <w:lvl w:ilvl="0" w:tplc="D3284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20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64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42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61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7CF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34D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8E0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AE8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627140C"/>
    <w:multiLevelType w:val="hybridMultilevel"/>
    <w:tmpl w:val="1F9870C0"/>
    <w:lvl w:ilvl="0" w:tplc="441402AE">
      <w:start w:val="1"/>
      <w:numFmt w:val="decimal"/>
      <w:lvlText w:val="%1."/>
      <w:lvlJc w:val="left"/>
      <w:pPr>
        <w:ind w:left="744" w:hanging="384"/>
      </w:pPr>
      <w:rPr>
        <w:rFonts w:ascii="Tw Cen MT" w:hAnsi="Tw Cen MT" w:hint="default"/>
        <w:b/>
        <w:color w:val="21586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55FE4"/>
    <w:multiLevelType w:val="hybridMultilevel"/>
    <w:tmpl w:val="FECA4F46"/>
    <w:lvl w:ilvl="0" w:tplc="441402AE">
      <w:start w:val="1"/>
      <w:numFmt w:val="decimal"/>
      <w:lvlText w:val="%1."/>
      <w:lvlJc w:val="left"/>
      <w:pPr>
        <w:ind w:left="744" w:hanging="384"/>
      </w:pPr>
      <w:rPr>
        <w:rFonts w:ascii="Tw Cen MT" w:hAnsi="Tw Cen MT" w:hint="default"/>
        <w:b/>
        <w:color w:val="215868"/>
      </w:rPr>
    </w:lvl>
    <w:lvl w:ilvl="1" w:tplc="C128B9F8">
      <w:start w:val="1"/>
      <w:numFmt w:val="upperLetter"/>
      <w:lvlText w:val="%2."/>
      <w:lvlJc w:val="left"/>
      <w:pPr>
        <w:ind w:left="1440" w:hanging="360"/>
      </w:pPr>
      <w:rPr>
        <w:rFonts w:ascii="Calibri" w:eastAsia="Times New Roman" w:hAnsi="Calibri"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017D7"/>
    <w:multiLevelType w:val="hybridMultilevel"/>
    <w:tmpl w:val="A6F2F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A95A96"/>
    <w:multiLevelType w:val="hybridMultilevel"/>
    <w:tmpl w:val="F6002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C64A0B"/>
    <w:multiLevelType w:val="hybridMultilevel"/>
    <w:tmpl w:val="83A84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CA787B"/>
    <w:multiLevelType w:val="hybridMultilevel"/>
    <w:tmpl w:val="B76E7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9B7CAE"/>
    <w:multiLevelType w:val="hybridMultilevel"/>
    <w:tmpl w:val="44E44458"/>
    <w:lvl w:ilvl="0" w:tplc="2280EE94">
      <w:start w:val="1"/>
      <w:numFmt w:val="lowerLetter"/>
      <w:lvlText w:val="%1."/>
      <w:lvlJc w:val="left"/>
      <w:pPr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AE2CE1"/>
    <w:multiLevelType w:val="hybridMultilevel"/>
    <w:tmpl w:val="3668A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F6B33"/>
    <w:multiLevelType w:val="hybridMultilevel"/>
    <w:tmpl w:val="82CEB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335DB5"/>
    <w:multiLevelType w:val="hybridMultilevel"/>
    <w:tmpl w:val="40683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6C5356"/>
    <w:multiLevelType w:val="hybridMultilevel"/>
    <w:tmpl w:val="D7C8AEB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10"/>
  </w:num>
  <w:num w:numId="5">
    <w:abstractNumId w:val="1"/>
  </w:num>
  <w:num w:numId="6">
    <w:abstractNumId w:val="2"/>
  </w:num>
  <w:num w:numId="7">
    <w:abstractNumId w:val="12"/>
  </w:num>
  <w:num w:numId="8">
    <w:abstractNumId w:val="4"/>
  </w:num>
  <w:num w:numId="9">
    <w:abstractNumId w:val="15"/>
  </w:num>
  <w:num w:numId="10">
    <w:abstractNumId w:val="9"/>
  </w:num>
  <w:num w:numId="11">
    <w:abstractNumId w:val="17"/>
  </w:num>
  <w:num w:numId="12">
    <w:abstractNumId w:val="7"/>
  </w:num>
  <w:num w:numId="13">
    <w:abstractNumId w:val="0"/>
  </w:num>
  <w:num w:numId="14">
    <w:abstractNumId w:val="6"/>
  </w:num>
  <w:num w:numId="15">
    <w:abstractNumId w:val="13"/>
  </w:num>
  <w:num w:numId="16">
    <w:abstractNumId w:val="1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0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wNjU1sDSwMDK0MDBT0lEKTi0uzszPAykwrgUAszxW8SwAAAA="/>
  </w:docVars>
  <w:rsids>
    <w:rsidRoot w:val="0002384D"/>
    <w:rsid w:val="0000787D"/>
    <w:rsid w:val="00015F47"/>
    <w:rsid w:val="0001748D"/>
    <w:rsid w:val="0002384D"/>
    <w:rsid w:val="0002395E"/>
    <w:rsid w:val="00033C93"/>
    <w:rsid w:val="00045618"/>
    <w:rsid w:val="0005181F"/>
    <w:rsid w:val="000541A0"/>
    <w:rsid w:val="00054EDC"/>
    <w:rsid w:val="00056D30"/>
    <w:rsid w:val="000626C9"/>
    <w:rsid w:val="00063AA0"/>
    <w:rsid w:val="0006692E"/>
    <w:rsid w:val="0006782F"/>
    <w:rsid w:val="00070E9E"/>
    <w:rsid w:val="00080EA4"/>
    <w:rsid w:val="000824D3"/>
    <w:rsid w:val="00096AD3"/>
    <w:rsid w:val="000A171C"/>
    <w:rsid w:val="000A5419"/>
    <w:rsid w:val="000B3028"/>
    <w:rsid w:val="000B664E"/>
    <w:rsid w:val="000C191F"/>
    <w:rsid w:val="000C21E3"/>
    <w:rsid w:val="000D4388"/>
    <w:rsid w:val="000D494C"/>
    <w:rsid w:val="000D6984"/>
    <w:rsid w:val="000E1381"/>
    <w:rsid w:val="000E4A83"/>
    <w:rsid w:val="000E4E88"/>
    <w:rsid w:val="000E5681"/>
    <w:rsid w:val="000F7518"/>
    <w:rsid w:val="00104D08"/>
    <w:rsid w:val="001303CC"/>
    <w:rsid w:val="00132F63"/>
    <w:rsid w:val="001366C2"/>
    <w:rsid w:val="00145534"/>
    <w:rsid w:val="00147A55"/>
    <w:rsid w:val="00150586"/>
    <w:rsid w:val="001563B7"/>
    <w:rsid w:val="001624FC"/>
    <w:rsid w:val="0016379B"/>
    <w:rsid w:val="00167A82"/>
    <w:rsid w:val="00173C1B"/>
    <w:rsid w:val="001766EA"/>
    <w:rsid w:val="00177FD5"/>
    <w:rsid w:val="00180E8F"/>
    <w:rsid w:val="001A2C22"/>
    <w:rsid w:val="001B4B83"/>
    <w:rsid w:val="001C3B1A"/>
    <w:rsid w:val="001D0072"/>
    <w:rsid w:val="001D016E"/>
    <w:rsid w:val="001D10F7"/>
    <w:rsid w:val="001D1D27"/>
    <w:rsid w:val="001D3A16"/>
    <w:rsid w:val="001D5A86"/>
    <w:rsid w:val="001E21BC"/>
    <w:rsid w:val="001E5C30"/>
    <w:rsid w:val="001E7179"/>
    <w:rsid w:val="00205FA9"/>
    <w:rsid w:val="002069D7"/>
    <w:rsid w:val="00210C4E"/>
    <w:rsid w:val="002126B0"/>
    <w:rsid w:val="00226E92"/>
    <w:rsid w:val="0025111E"/>
    <w:rsid w:val="002518CA"/>
    <w:rsid w:val="0026029D"/>
    <w:rsid w:val="00274B27"/>
    <w:rsid w:val="00283483"/>
    <w:rsid w:val="0028496C"/>
    <w:rsid w:val="00285F5E"/>
    <w:rsid w:val="00294E98"/>
    <w:rsid w:val="002A064C"/>
    <w:rsid w:val="002A0F03"/>
    <w:rsid w:val="002A2088"/>
    <w:rsid w:val="002A63D3"/>
    <w:rsid w:val="002B4275"/>
    <w:rsid w:val="002D0963"/>
    <w:rsid w:val="002E014D"/>
    <w:rsid w:val="002E6689"/>
    <w:rsid w:val="002F3F09"/>
    <w:rsid w:val="00316078"/>
    <w:rsid w:val="0033215D"/>
    <w:rsid w:val="00345884"/>
    <w:rsid w:val="0034734A"/>
    <w:rsid w:val="003478FF"/>
    <w:rsid w:val="00351F10"/>
    <w:rsid w:val="0035447F"/>
    <w:rsid w:val="0035464C"/>
    <w:rsid w:val="00360387"/>
    <w:rsid w:val="00360463"/>
    <w:rsid w:val="0036100A"/>
    <w:rsid w:val="00367FBA"/>
    <w:rsid w:val="00370013"/>
    <w:rsid w:val="0038796C"/>
    <w:rsid w:val="00392097"/>
    <w:rsid w:val="003960A7"/>
    <w:rsid w:val="0039704B"/>
    <w:rsid w:val="003A2882"/>
    <w:rsid w:val="003A7FA8"/>
    <w:rsid w:val="003B16D6"/>
    <w:rsid w:val="003B2EAD"/>
    <w:rsid w:val="003C13ED"/>
    <w:rsid w:val="003C1969"/>
    <w:rsid w:val="003C59E4"/>
    <w:rsid w:val="003D2CCB"/>
    <w:rsid w:val="003D604A"/>
    <w:rsid w:val="003E0EAE"/>
    <w:rsid w:val="003E275F"/>
    <w:rsid w:val="003E6D28"/>
    <w:rsid w:val="003E6E1B"/>
    <w:rsid w:val="003F287E"/>
    <w:rsid w:val="003F7F42"/>
    <w:rsid w:val="00404B8E"/>
    <w:rsid w:val="004252FB"/>
    <w:rsid w:val="004261C5"/>
    <w:rsid w:val="00436514"/>
    <w:rsid w:val="0044111F"/>
    <w:rsid w:val="00441B1D"/>
    <w:rsid w:val="00445F9C"/>
    <w:rsid w:val="004477CD"/>
    <w:rsid w:val="004521CE"/>
    <w:rsid w:val="004712EB"/>
    <w:rsid w:val="0047514E"/>
    <w:rsid w:val="00481CC0"/>
    <w:rsid w:val="00487B91"/>
    <w:rsid w:val="0049472D"/>
    <w:rsid w:val="004B0A35"/>
    <w:rsid w:val="004B292B"/>
    <w:rsid w:val="004B5059"/>
    <w:rsid w:val="004B51DF"/>
    <w:rsid w:val="004B5A66"/>
    <w:rsid w:val="004C5428"/>
    <w:rsid w:val="004C624F"/>
    <w:rsid w:val="004D03D6"/>
    <w:rsid w:val="004D1AFD"/>
    <w:rsid w:val="004E210E"/>
    <w:rsid w:val="004E5615"/>
    <w:rsid w:val="004E5FBB"/>
    <w:rsid w:val="004F1969"/>
    <w:rsid w:val="004F2E9A"/>
    <w:rsid w:val="00512F44"/>
    <w:rsid w:val="00513131"/>
    <w:rsid w:val="00532161"/>
    <w:rsid w:val="0054046B"/>
    <w:rsid w:val="0054494B"/>
    <w:rsid w:val="00544EB2"/>
    <w:rsid w:val="00547D09"/>
    <w:rsid w:val="00554714"/>
    <w:rsid w:val="0055497B"/>
    <w:rsid w:val="00561B33"/>
    <w:rsid w:val="0056207D"/>
    <w:rsid w:val="00565E30"/>
    <w:rsid w:val="00577904"/>
    <w:rsid w:val="00593CDD"/>
    <w:rsid w:val="005944D9"/>
    <w:rsid w:val="005B181E"/>
    <w:rsid w:val="005B4AFE"/>
    <w:rsid w:val="005C1E78"/>
    <w:rsid w:val="005C507C"/>
    <w:rsid w:val="005D4011"/>
    <w:rsid w:val="005E69CE"/>
    <w:rsid w:val="005F41AF"/>
    <w:rsid w:val="005F5D4E"/>
    <w:rsid w:val="005F78D2"/>
    <w:rsid w:val="006154EB"/>
    <w:rsid w:val="00622E0E"/>
    <w:rsid w:val="00622F93"/>
    <w:rsid w:val="00623882"/>
    <w:rsid w:val="0062786D"/>
    <w:rsid w:val="006330A1"/>
    <w:rsid w:val="006343CB"/>
    <w:rsid w:val="00637563"/>
    <w:rsid w:val="00640E6F"/>
    <w:rsid w:val="00650A2D"/>
    <w:rsid w:val="00652911"/>
    <w:rsid w:val="00667072"/>
    <w:rsid w:val="00671A09"/>
    <w:rsid w:val="0067302A"/>
    <w:rsid w:val="00675451"/>
    <w:rsid w:val="00680EA6"/>
    <w:rsid w:val="00683786"/>
    <w:rsid w:val="00686F1A"/>
    <w:rsid w:val="00693EA4"/>
    <w:rsid w:val="0069423F"/>
    <w:rsid w:val="006A4C27"/>
    <w:rsid w:val="006B129C"/>
    <w:rsid w:val="006B425B"/>
    <w:rsid w:val="006C1282"/>
    <w:rsid w:val="006C2126"/>
    <w:rsid w:val="006C69BD"/>
    <w:rsid w:val="006C7B03"/>
    <w:rsid w:val="006D4752"/>
    <w:rsid w:val="006D6715"/>
    <w:rsid w:val="006E440E"/>
    <w:rsid w:val="006E74B5"/>
    <w:rsid w:val="006F244C"/>
    <w:rsid w:val="006F29A5"/>
    <w:rsid w:val="00710D14"/>
    <w:rsid w:val="00720137"/>
    <w:rsid w:val="00726ABE"/>
    <w:rsid w:val="007320E1"/>
    <w:rsid w:val="00746A2E"/>
    <w:rsid w:val="00752A7A"/>
    <w:rsid w:val="007563F7"/>
    <w:rsid w:val="00761CAF"/>
    <w:rsid w:val="00770C8B"/>
    <w:rsid w:val="00770D9D"/>
    <w:rsid w:val="0079265D"/>
    <w:rsid w:val="007969B9"/>
    <w:rsid w:val="007A0E8E"/>
    <w:rsid w:val="007B5401"/>
    <w:rsid w:val="007C3860"/>
    <w:rsid w:val="007D1B72"/>
    <w:rsid w:val="007D2FA4"/>
    <w:rsid w:val="007D3029"/>
    <w:rsid w:val="007E1C53"/>
    <w:rsid w:val="007E7DFA"/>
    <w:rsid w:val="007F1969"/>
    <w:rsid w:val="008078F6"/>
    <w:rsid w:val="00823194"/>
    <w:rsid w:val="008365C9"/>
    <w:rsid w:val="00836885"/>
    <w:rsid w:val="00845B48"/>
    <w:rsid w:val="00852EE5"/>
    <w:rsid w:val="0085419E"/>
    <w:rsid w:val="008571B0"/>
    <w:rsid w:val="0086632C"/>
    <w:rsid w:val="008706C9"/>
    <w:rsid w:val="008905CB"/>
    <w:rsid w:val="008908C6"/>
    <w:rsid w:val="00892387"/>
    <w:rsid w:val="008A1608"/>
    <w:rsid w:val="008B1ED3"/>
    <w:rsid w:val="008C2730"/>
    <w:rsid w:val="008C677C"/>
    <w:rsid w:val="008E117A"/>
    <w:rsid w:val="009068E3"/>
    <w:rsid w:val="00910C0E"/>
    <w:rsid w:val="00921CF9"/>
    <w:rsid w:val="00926876"/>
    <w:rsid w:val="009529F4"/>
    <w:rsid w:val="009531C2"/>
    <w:rsid w:val="00954D27"/>
    <w:rsid w:val="009639E7"/>
    <w:rsid w:val="009648F8"/>
    <w:rsid w:val="00965EDE"/>
    <w:rsid w:val="00974B83"/>
    <w:rsid w:val="0097582C"/>
    <w:rsid w:val="00976641"/>
    <w:rsid w:val="00982994"/>
    <w:rsid w:val="00986F5A"/>
    <w:rsid w:val="009A2CC6"/>
    <w:rsid w:val="009D61F1"/>
    <w:rsid w:val="009E2F8E"/>
    <w:rsid w:val="009E3F80"/>
    <w:rsid w:val="009E496C"/>
    <w:rsid w:val="009E51A2"/>
    <w:rsid w:val="009E7CFB"/>
    <w:rsid w:val="009F1EFE"/>
    <w:rsid w:val="00A00394"/>
    <w:rsid w:val="00A067D5"/>
    <w:rsid w:val="00A15E38"/>
    <w:rsid w:val="00A2020F"/>
    <w:rsid w:val="00A5722A"/>
    <w:rsid w:val="00A60B09"/>
    <w:rsid w:val="00A63601"/>
    <w:rsid w:val="00A66904"/>
    <w:rsid w:val="00A70A1D"/>
    <w:rsid w:val="00A71E68"/>
    <w:rsid w:val="00A83114"/>
    <w:rsid w:val="00A85379"/>
    <w:rsid w:val="00A911FE"/>
    <w:rsid w:val="00A91D7F"/>
    <w:rsid w:val="00A9234F"/>
    <w:rsid w:val="00AA2E83"/>
    <w:rsid w:val="00AA3098"/>
    <w:rsid w:val="00AA66CB"/>
    <w:rsid w:val="00AB40CD"/>
    <w:rsid w:val="00AC2A27"/>
    <w:rsid w:val="00AC3686"/>
    <w:rsid w:val="00AE1DAD"/>
    <w:rsid w:val="00AE507B"/>
    <w:rsid w:val="00AF3DE0"/>
    <w:rsid w:val="00B02D79"/>
    <w:rsid w:val="00B13A24"/>
    <w:rsid w:val="00B26329"/>
    <w:rsid w:val="00B307A2"/>
    <w:rsid w:val="00B30FEB"/>
    <w:rsid w:val="00B32F0B"/>
    <w:rsid w:val="00B36F30"/>
    <w:rsid w:val="00B54BC4"/>
    <w:rsid w:val="00B55238"/>
    <w:rsid w:val="00B56609"/>
    <w:rsid w:val="00B71B67"/>
    <w:rsid w:val="00B86EBE"/>
    <w:rsid w:val="00BA592C"/>
    <w:rsid w:val="00BA5E7B"/>
    <w:rsid w:val="00BC5E58"/>
    <w:rsid w:val="00BD7ED0"/>
    <w:rsid w:val="00BE068C"/>
    <w:rsid w:val="00BE0A0D"/>
    <w:rsid w:val="00BE37AE"/>
    <w:rsid w:val="00BE748F"/>
    <w:rsid w:val="00BF186B"/>
    <w:rsid w:val="00C33C83"/>
    <w:rsid w:val="00C37F3C"/>
    <w:rsid w:val="00C471B5"/>
    <w:rsid w:val="00C510E5"/>
    <w:rsid w:val="00C52732"/>
    <w:rsid w:val="00C57261"/>
    <w:rsid w:val="00C57CE5"/>
    <w:rsid w:val="00C62989"/>
    <w:rsid w:val="00C66102"/>
    <w:rsid w:val="00C82DDB"/>
    <w:rsid w:val="00C82FA2"/>
    <w:rsid w:val="00C91451"/>
    <w:rsid w:val="00CB01EC"/>
    <w:rsid w:val="00CB686A"/>
    <w:rsid w:val="00CB7C6B"/>
    <w:rsid w:val="00CC14D7"/>
    <w:rsid w:val="00CC3C36"/>
    <w:rsid w:val="00CC585F"/>
    <w:rsid w:val="00CD2D38"/>
    <w:rsid w:val="00CD349D"/>
    <w:rsid w:val="00CD4234"/>
    <w:rsid w:val="00CE679A"/>
    <w:rsid w:val="00CF0617"/>
    <w:rsid w:val="00D00407"/>
    <w:rsid w:val="00D03735"/>
    <w:rsid w:val="00D053BE"/>
    <w:rsid w:val="00D07656"/>
    <w:rsid w:val="00D11CC9"/>
    <w:rsid w:val="00D37E49"/>
    <w:rsid w:val="00D54ACF"/>
    <w:rsid w:val="00D55476"/>
    <w:rsid w:val="00D60849"/>
    <w:rsid w:val="00D65684"/>
    <w:rsid w:val="00D776A4"/>
    <w:rsid w:val="00D92D46"/>
    <w:rsid w:val="00D94536"/>
    <w:rsid w:val="00DA35EF"/>
    <w:rsid w:val="00DA3BEC"/>
    <w:rsid w:val="00DB68A5"/>
    <w:rsid w:val="00DB6A5E"/>
    <w:rsid w:val="00DC23A0"/>
    <w:rsid w:val="00DD0B4A"/>
    <w:rsid w:val="00DE30C0"/>
    <w:rsid w:val="00DE41BF"/>
    <w:rsid w:val="00DF3ECA"/>
    <w:rsid w:val="00E0072A"/>
    <w:rsid w:val="00E1027E"/>
    <w:rsid w:val="00E11BDC"/>
    <w:rsid w:val="00E2678A"/>
    <w:rsid w:val="00E37287"/>
    <w:rsid w:val="00E41148"/>
    <w:rsid w:val="00E4696B"/>
    <w:rsid w:val="00E503DB"/>
    <w:rsid w:val="00E51376"/>
    <w:rsid w:val="00E542BD"/>
    <w:rsid w:val="00E8175F"/>
    <w:rsid w:val="00E81BEF"/>
    <w:rsid w:val="00E86265"/>
    <w:rsid w:val="00EC20CB"/>
    <w:rsid w:val="00ED360B"/>
    <w:rsid w:val="00ED7B66"/>
    <w:rsid w:val="00EE607A"/>
    <w:rsid w:val="00EF0277"/>
    <w:rsid w:val="00EF38E9"/>
    <w:rsid w:val="00F109FC"/>
    <w:rsid w:val="00F1381B"/>
    <w:rsid w:val="00F305EC"/>
    <w:rsid w:val="00F339D6"/>
    <w:rsid w:val="00F43277"/>
    <w:rsid w:val="00F45CB0"/>
    <w:rsid w:val="00F54A47"/>
    <w:rsid w:val="00F576C0"/>
    <w:rsid w:val="00F579E2"/>
    <w:rsid w:val="00F676FD"/>
    <w:rsid w:val="00F776D5"/>
    <w:rsid w:val="00F80E08"/>
    <w:rsid w:val="00F817A4"/>
    <w:rsid w:val="00F87AFB"/>
    <w:rsid w:val="00F96227"/>
    <w:rsid w:val="00F97F8E"/>
    <w:rsid w:val="00FB030F"/>
    <w:rsid w:val="00FB68C3"/>
    <w:rsid w:val="00FC0F79"/>
    <w:rsid w:val="00FC326A"/>
    <w:rsid w:val="00FD088C"/>
    <w:rsid w:val="00FD3A2A"/>
    <w:rsid w:val="00FE04C1"/>
    <w:rsid w:val="00FE0E1A"/>
    <w:rsid w:val="00FE4F23"/>
    <w:rsid w:val="00FF0107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947AC"/>
  <w15:docId w15:val="{38D69753-BCC2-4959-80D0-D4AD7CDE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84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84D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02384D"/>
    <w:rPr>
      <w:rFonts w:ascii="Times New Roman" w:eastAsiaTheme="minorHAnsi" w:hAnsi="Times New Roman"/>
      <w:sz w:val="24"/>
      <w:szCs w:val="24"/>
    </w:rPr>
  </w:style>
  <w:style w:type="paragraph" w:customStyle="1" w:styleId="xmsonormal">
    <w:name w:val="x_msonormal"/>
    <w:basedOn w:val="Normal"/>
    <w:uiPriority w:val="99"/>
    <w:rsid w:val="0002384D"/>
    <w:rPr>
      <w:rFonts w:ascii="Times New Roman" w:eastAsiaTheme="minorHAnsi" w:hAnsi="Times New Roman"/>
      <w:sz w:val="24"/>
      <w:szCs w:val="24"/>
    </w:rPr>
  </w:style>
  <w:style w:type="paragraph" w:customStyle="1" w:styleId="xmsoplaintext">
    <w:name w:val="x_msoplaintext"/>
    <w:basedOn w:val="Normal"/>
    <w:uiPriority w:val="99"/>
    <w:semiHidden/>
    <w:rsid w:val="0002384D"/>
    <w:rPr>
      <w:rFonts w:ascii="Times New Roman" w:eastAsiaTheme="minorHAnsi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B425B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425B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0D6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98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6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984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E0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4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4C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4C1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C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020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F776D5"/>
    <w:pPr>
      <w:numPr>
        <w:numId w:val="6"/>
      </w:numPr>
      <w:tabs>
        <w:tab w:val="clear" w:pos="360"/>
      </w:tabs>
      <w:ind w:left="0" w:firstLine="0"/>
    </w:pPr>
    <w:rPr>
      <w:rFonts w:ascii="Book Antiqua" w:hAnsi="Book Antiqu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76D5"/>
    <w:rPr>
      <w:rFonts w:ascii="Book Antiqua" w:eastAsia="Times New Roman" w:hAnsi="Book Antiqu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8927">
          <w:marLeft w:val="25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9000">
          <w:marLeft w:val="25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731">
          <w:marLeft w:val="25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5498">
          <w:marLeft w:val="25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117">
          <w:marLeft w:val="25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32">
          <w:marLeft w:val="25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sf.app.box.com/file/4496465876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42458-60BD-4D84-BED9-ABF8A561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Michelle.King@ucsf.edu</dc:creator>
  <cp:lastModifiedBy>Koeplin, Diana</cp:lastModifiedBy>
  <cp:revision>31</cp:revision>
  <dcterms:created xsi:type="dcterms:W3CDTF">2020-05-12T23:31:00Z</dcterms:created>
  <dcterms:modified xsi:type="dcterms:W3CDTF">2020-05-28T18:56:00Z</dcterms:modified>
</cp:coreProperties>
</file>