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22D2" w14:textId="77777777" w:rsidR="0002384D" w:rsidRDefault="00A00394" w:rsidP="0002384D">
      <w:pPr>
        <w:rPr>
          <w:rFonts w:ascii="Tw Cen MT" w:hAnsi="Tw Cen MT"/>
          <w:b/>
          <w:bCs/>
          <w:color w:val="215868"/>
        </w:rPr>
      </w:pPr>
      <w:r w:rsidRPr="00A00394">
        <w:rPr>
          <w:rFonts w:ascii="Tw Cen MT" w:hAnsi="Tw Cen MT"/>
          <w:b/>
          <w:bCs/>
          <w:color w:val="215868"/>
          <w:sz w:val="24"/>
          <w:szCs w:val="24"/>
        </w:rPr>
        <w:t xml:space="preserve">School of Pharmacy </w:t>
      </w:r>
      <w:r w:rsidR="0002384D" w:rsidRPr="00A00394">
        <w:rPr>
          <w:rFonts w:ascii="Tw Cen MT" w:hAnsi="Tw Cen MT"/>
          <w:b/>
          <w:bCs/>
          <w:color w:val="215868"/>
          <w:sz w:val="24"/>
          <w:szCs w:val="24"/>
        </w:rPr>
        <w:t>Comp</w:t>
      </w:r>
      <w:r w:rsidRPr="00A00394">
        <w:rPr>
          <w:rFonts w:ascii="Tw Cen MT" w:hAnsi="Tw Cen MT"/>
          <w:b/>
          <w:bCs/>
          <w:color w:val="215868"/>
          <w:sz w:val="24"/>
          <w:szCs w:val="24"/>
        </w:rPr>
        <w:t>ensation</w:t>
      </w:r>
      <w:r w:rsidR="0002384D" w:rsidRPr="00A00394">
        <w:rPr>
          <w:rFonts w:ascii="Tw Cen MT" w:hAnsi="Tw Cen MT"/>
          <w:b/>
          <w:bCs/>
          <w:color w:val="215868"/>
          <w:sz w:val="24"/>
          <w:szCs w:val="24"/>
        </w:rPr>
        <w:t xml:space="preserve"> Plan Advisory Committee</w:t>
      </w:r>
      <w:r w:rsidR="000E4E88">
        <w:rPr>
          <w:rFonts w:ascii="Tw Cen MT" w:hAnsi="Tw Cen MT"/>
          <w:b/>
          <w:bCs/>
          <w:color w:val="215868"/>
          <w:sz w:val="24"/>
          <w:szCs w:val="24"/>
        </w:rPr>
        <w:t xml:space="preserve"> (CPAC)</w:t>
      </w:r>
      <w:r w:rsidR="0002384D" w:rsidRPr="00A00394">
        <w:rPr>
          <w:rFonts w:ascii="Tw Cen MT" w:hAnsi="Tw Cen MT"/>
          <w:b/>
          <w:bCs/>
          <w:color w:val="215868"/>
          <w:sz w:val="24"/>
          <w:szCs w:val="24"/>
        </w:rPr>
        <w:t xml:space="preserve"> Meeti</w:t>
      </w:r>
      <w:r w:rsidR="0002384D">
        <w:rPr>
          <w:rFonts w:ascii="Tw Cen MT" w:hAnsi="Tw Cen MT"/>
          <w:b/>
          <w:bCs/>
          <w:color w:val="215868"/>
        </w:rPr>
        <w:t>ng</w:t>
      </w:r>
      <w:r w:rsidR="001D016E">
        <w:rPr>
          <w:rFonts w:ascii="Tw Cen MT" w:hAnsi="Tw Cen MT"/>
          <w:b/>
          <w:bCs/>
          <w:color w:val="215868"/>
        </w:rPr>
        <w:t xml:space="preserve"> Minutes</w:t>
      </w:r>
    </w:p>
    <w:p w14:paraId="223DC994" w14:textId="3C474359" w:rsidR="00A00394" w:rsidRDefault="00D07656" w:rsidP="0002384D">
      <w:pPr>
        <w:rPr>
          <w:rFonts w:ascii="Tw Cen MT" w:hAnsi="Tw Cen MT"/>
          <w:b/>
          <w:bCs/>
          <w:color w:val="215868"/>
        </w:rPr>
      </w:pPr>
      <w:r>
        <w:rPr>
          <w:rFonts w:ascii="Tw Cen MT" w:hAnsi="Tw Cen MT"/>
          <w:b/>
          <w:bCs/>
          <w:color w:val="215868"/>
        </w:rPr>
        <w:t>November</w:t>
      </w:r>
      <w:r w:rsidR="000C191F">
        <w:rPr>
          <w:rFonts w:ascii="Tw Cen MT" w:hAnsi="Tw Cen MT"/>
          <w:b/>
          <w:bCs/>
          <w:color w:val="215868"/>
        </w:rPr>
        <w:t xml:space="preserve"> </w:t>
      </w:r>
      <w:r>
        <w:rPr>
          <w:rFonts w:ascii="Tw Cen MT" w:hAnsi="Tw Cen MT"/>
          <w:b/>
          <w:bCs/>
          <w:color w:val="215868"/>
        </w:rPr>
        <w:t>1</w:t>
      </w:r>
      <w:r w:rsidR="000C191F">
        <w:rPr>
          <w:rFonts w:ascii="Tw Cen MT" w:hAnsi="Tw Cen MT"/>
          <w:b/>
          <w:bCs/>
          <w:color w:val="215868"/>
        </w:rPr>
        <w:t>9, 2019</w:t>
      </w:r>
    </w:p>
    <w:p w14:paraId="376AECD6" w14:textId="64E324E1" w:rsidR="00A00394" w:rsidRDefault="00D07656" w:rsidP="0002384D">
      <w:pPr>
        <w:rPr>
          <w:rFonts w:ascii="Tw Cen MT" w:hAnsi="Tw Cen MT"/>
          <w:b/>
          <w:bCs/>
          <w:color w:val="215868"/>
        </w:rPr>
      </w:pPr>
      <w:r>
        <w:rPr>
          <w:rFonts w:ascii="Tw Cen MT" w:hAnsi="Tw Cen MT"/>
          <w:b/>
          <w:bCs/>
          <w:color w:val="215868"/>
        </w:rPr>
        <w:t>1:00 pm – 2</w:t>
      </w:r>
      <w:r w:rsidR="00A00394">
        <w:rPr>
          <w:rFonts w:ascii="Tw Cen MT" w:hAnsi="Tw Cen MT"/>
          <w:b/>
          <w:bCs/>
          <w:color w:val="215868"/>
        </w:rPr>
        <w:t>:30 pm</w:t>
      </w:r>
    </w:p>
    <w:p w14:paraId="1C0C9ED1" w14:textId="7C6112ED" w:rsidR="0002384D" w:rsidRDefault="00D07656" w:rsidP="0002384D">
      <w:pPr>
        <w:rPr>
          <w:rFonts w:ascii="Tw Cen MT" w:hAnsi="Tw Cen MT"/>
          <w:b/>
          <w:bCs/>
          <w:color w:val="215868"/>
        </w:rPr>
      </w:pPr>
      <w:r>
        <w:rPr>
          <w:rFonts w:ascii="Tw Cen MT" w:hAnsi="Tw Cen MT"/>
          <w:b/>
          <w:bCs/>
          <w:color w:val="215868"/>
        </w:rPr>
        <w:t>Mission Bay - Mission Hall 1405</w:t>
      </w:r>
    </w:p>
    <w:p w14:paraId="2B357FEF" w14:textId="77777777" w:rsidR="001D016E" w:rsidRDefault="001D016E" w:rsidP="0002384D">
      <w:pPr>
        <w:rPr>
          <w:rFonts w:ascii="Tw Cen MT" w:hAnsi="Tw Cen MT"/>
          <w:b/>
          <w:bCs/>
          <w:color w:val="215868"/>
        </w:rPr>
      </w:pPr>
    </w:p>
    <w:p w14:paraId="3E79BCA8" w14:textId="35A57CA2" w:rsidR="001D016E" w:rsidRDefault="001D016E" w:rsidP="003E6E1B">
      <w:pPr>
        <w:rPr>
          <w:rFonts w:ascii="Tw Cen MT" w:hAnsi="Tw Cen MT"/>
          <w:color w:val="215868"/>
        </w:rPr>
      </w:pPr>
      <w:r>
        <w:rPr>
          <w:rFonts w:ascii="Tw Cen MT" w:hAnsi="Tw Cen MT"/>
          <w:b/>
          <w:bCs/>
          <w:color w:val="215868"/>
        </w:rPr>
        <w:t xml:space="preserve">Attendees: </w:t>
      </w:r>
      <w:r w:rsidRPr="001D016E">
        <w:rPr>
          <w:rFonts w:ascii="Tw Cen MT" w:hAnsi="Tw Cen MT"/>
          <w:color w:val="215868"/>
        </w:rPr>
        <w:t>Tom Kearney (</w:t>
      </w:r>
      <w:r w:rsidR="003E6E1B">
        <w:rPr>
          <w:rFonts w:ascii="Tw Cen MT" w:hAnsi="Tw Cen MT"/>
          <w:color w:val="215868"/>
        </w:rPr>
        <w:t xml:space="preserve">CP - </w:t>
      </w:r>
      <w:r w:rsidRPr="001D016E">
        <w:rPr>
          <w:rFonts w:ascii="Tw Cen MT" w:hAnsi="Tw Cen MT"/>
          <w:color w:val="215868"/>
        </w:rPr>
        <w:t>Chair)</w:t>
      </w:r>
      <w:r w:rsidR="003E6E1B">
        <w:rPr>
          <w:rFonts w:ascii="Tw Cen MT" w:hAnsi="Tw Cen MT"/>
          <w:color w:val="215868"/>
        </w:rPr>
        <w:t>,</w:t>
      </w:r>
      <w:r w:rsidRPr="001D016E">
        <w:rPr>
          <w:rFonts w:ascii="Tw Cen MT" w:hAnsi="Tw Cen MT"/>
          <w:color w:val="215868"/>
        </w:rPr>
        <w:t xml:space="preserve"> </w:t>
      </w:r>
      <w:r w:rsidR="000C191F">
        <w:rPr>
          <w:rFonts w:ascii="Tw Cen MT" w:hAnsi="Tw Cen MT"/>
          <w:color w:val="215868"/>
        </w:rPr>
        <w:t xml:space="preserve">Al Burlingame (PC), </w:t>
      </w:r>
      <w:r w:rsidR="00445F9C">
        <w:rPr>
          <w:rFonts w:ascii="Tw Cen MT" w:hAnsi="Tw Cen MT"/>
          <w:color w:val="215868"/>
        </w:rPr>
        <w:t xml:space="preserve">Ian </w:t>
      </w:r>
      <w:proofErr w:type="spellStart"/>
      <w:r w:rsidR="00445F9C">
        <w:rPr>
          <w:rFonts w:ascii="Tw Cen MT" w:hAnsi="Tw Cen MT"/>
          <w:color w:val="215868"/>
        </w:rPr>
        <w:t>Seiple</w:t>
      </w:r>
      <w:proofErr w:type="spellEnd"/>
      <w:r w:rsidR="00445F9C">
        <w:rPr>
          <w:rFonts w:ascii="Tw Cen MT" w:hAnsi="Tw Cen MT"/>
          <w:color w:val="215868"/>
        </w:rPr>
        <w:t xml:space="preserve"> </w:t>
      </w:r>
      <w:r w:rsidR="003E6E1B">
        <w:rPr>
          <w:rFonts w:ascii="Tw Cen MT" w:hAnsi="Tw Cen MT"/>
          <w:color w:val="215868"/>
        </w:rPr>
        <w:t xml:space="preserve">(PC), Bani </w:t>
      </w:r>
      <w:proofErr w:type="spellStart"/>
      <w:r w:rsidR="003E6E1B">
        <w:rPr>
          <w:rFonts w:ascii="Tw Cen MT" w:hAnsi="Tw Cen MT"/>
          <w:color w:val="215868"/>
        </w:rPr>
        <w:t>T</w:t>
      </w:r>
      <w:r w:rsidR="003E6E1B" w:rsidRPr="001D016E">
        <w:rPr>
          <w:rFonts w:ascii="Tw Cen MT" w:hAnsi="Tw Cen MT"/>
          <w:color w:val="215868"/>
        </w:rPr>
        <w:t>amraz</w:t>
      </w:r>
      <w:proofErr w:type="spellEnd"/>
      <w:r w:rsidR="003E6E1B" w:rsidRPr="001D016E">
        <w:rPr>
          <w:rFonts w:ascii="Tw Cen MT" w:hAnsi="Tw Cen MT"/>
          <w:color w:val="215868"/>
        </w:rPr>
        <w:t xml:space="preserve"> </w:t>
      </w:r>
      <w:r w:rsidR="003E6E1B">
        <w:rPr>
          <w:rFonts w:ascii="Tw Cen MT" w:hAnsi="Tw Cen MT"/>
          <w:color w:val="215868"/>
        </w:rPr>
        <w:t>(</w:t>
      </w:r>
      <w:r w:rsidR="003E6E1B" w:rsidRPr="001D016E">
        <w:rPr>
          <w:rFonts w:ascii="Tw Cen MT" w:hAnsi="Tw Cen MT"/>
          <w:color w:val="215868"/>
        </w:rPr>
        <w:t>CP</w:t>
      </w:r>
      <w:r w:rsidR="003E6E1B">
        <w:rPr>
          <w:rFonts w:ascii="Tw Cen MT" w:hAnsi="Tw Cen MT"/>
          <w:color w:val="215868"/>
        </w:rPr>
        <w:t>)</w:t>
      </w:r>
      <w:r w:rsidR="00445F9C">
        <w:rPr>
          <w:rFonts w:ascii="Tw Cen MT" w:hAnsi="Tw Cen MT"/>
          <w:color w:val="215868"/>
        </w:rPr>
        <w:t xml:space="preserve"> </w:t>
      </w:r>
      <w:r w:rsidR="006B425B" w:rsidRPr="001D016E">
        <w:rPr>
          <w:rFonts w:ascii="Tw Cen MT" w:hAnsi="Tw Cen MT"/>
          <w:color w:val="215868"/>
        </w:rPr>
        <w:t xml:space="preserve">Diana </w:t>
      </w:r>
      <w:proofErr w:type="spellStart"/>
      <w:r w:rsidR="006B425B" w:rsidRPr="001D016E">
        <w:rPr>
          <w:rFonts w:ascii="Tw Cen MT" w:hAnsi="Tw Cen MT"/>
          <w:color w:val="215868"/>
        </w:rPr>
        <w:t>Koeplin</w:t>
      </w:r>
      <w:proofErr w:type="spellEnd"/>
      <w:r w:rsidR="006B425B" w:rsidRPr="001D016E">
        <w:rPr>
          <w:rFonts w:ascii="Tw Cen MT" w:hAnsi="Tw Cen MT"/>
          <w:color w:val="215868"/>
        </w:rPr>
        <w:t xml:space="preserve"> </w:t>
      </w:r>
      <w:r w:rsidR="003E6E1B">
        <w:rPr>
          <w:rFonts w:ascii="Tw Cen MT" w:hAnsi="Tw Cen MT"/>
          <w:color w:val="215868"/>
        </w:rPr>
        <w:t>(</w:t>
      </w:r>
      <w:r w:rsidR="006A4C27">
        <w:rPr>
          <w:rFonts w:ascii="Tw Cen MT" w:hAnsi="Tw Cen MT"/>
          <w:color w:val="215868"/>
        </w:rPr>
        <w:t>DO</w:t>
      </w:r>
      <w:r w:rsidR="003E6E1B">
        <w:rPr>
          <w:rFonts w:ascii="Tw Cen MT" w:hAnsi="Tw Cen MT"/>
          <w:color w:val="215868"/>
        </w:rPr>
        <w:t>),</w:t>
      </w:r>
      <w:r w:rsidR="006B425B" w:rsidRPr="001D016E">
        <w:rPr>
          <w:rFonts w:ascii="Tw Cen MT" w:hAnsi="Tw Cen MT"/>
          <w:color w:val="215868"/>
        </w:rPr>
        <w:t xml:space="preserve"> </w:t>
      </w:r>
      <w:r w:rsidR="005F78D2">
        <w:rPr>
          <w:rFonts w:ascii="Tw Cen MT" w:hAnsi="Tw Cen MT"/>
          <w:color w:val="215868"/>
        </w:rPr>
        <w:t>Phillip Babcock (VPAA)</w:t>
      </w:r>
    </w:p>
    <w:p w14:paraId="28AB195C" w14:textId="77777777" w:rsidR="005F78D2" w:rsidRDefault="005F78D2" w:rsidP="003E6E1B">
      <w:pPr>
        <w:rPr>
          <w:rFonts w:ascii="Tw Cen MT" w:hAnsi="Tw Cen MT"/>
          <w:color w:val="215868"/>
        </w:rPr>
      </w:pPr>
    </w:p>
    <w:p w14:paraId="5F4741C9" w14:textId="6B1E7692" w:rsidR="0002384D" w:rsidRDefault="005F78D2" w:rsidP="0002384D">
      <w:pPr>
        <w:rPr>
          <w:rFonts w:ascii="Tw Cen MT" w:hAnsi="Tw Cen MT"/>
          <w:b/>
          <w:bCs/>
          <w:color w:val="215868"/>
        </w:rPr>
      </w:pPr>
      <w:r>
        <w:rPr>
          <w:rFonts w:ascii="Tw Cen MT" w:hAnsi="Tw Cen MT"/>
          <w:b/>
          <w:bCs/>
          <w:color w:val="215868"/>
        </w:rPr>
        <w:t xml:space="preserve">Absent: </w:t>
      </w:r>
      <w:r>
        <w:rPr>
          <w:rFonts w:ascii="Tw Cen MT" w:hAnsi="Tw Cen MT"/>
          <w:color w:val="215868"/>
        </w:rPr>
        <w:t xml:space="preserve">Rada </w:t>
      </w:r>
      <w:proofErr w:type="spellStart"/>
      <w:r>
        <w:rPr>
          <w:rFonts w:ascii="Tw Cen MT" w:hAnsi="Tw Cen MT"/>
          <w:color w:val="215868"/>
        </w:rPr>
        <w:t>Savic</w:t>
      </w:r>
      <w:proofErr w:type="spellEnd"/>
      <w:r>
        <w:rPr>
          <w:rFonts w:ascii="Tw Cen MT" w:hAnsi="Tw Cen MT"/>
          <w:color w:val="215868"/>
        </w:rPr>
        <w:t xml:space="preserve"> (</w:t>
      </w:r>
      <w:r w:rsidRPr="001D016E">
        <w:rPr>
          <w:rFonts w:ascii="Tw Cen MT" w:hAnsi="Tw Cen MT"/>
          <w:color w:val="215868"/>
        </w:rPr>
        <w:t>CP</w:t>
      </w:r>
      <w:r>
        <w:rPr>
          <w:rFonts w:ascii="Tw Cen MT" w:hAnsi="Tw Cen MT"/>
          <w:b/>
          <w:bCs/>
          <w:color w:val="215868"/>
        </w:rPr>
        <w:t xml:space="preserve">), </w:t>
      </w:r>
      <w:r>
        <w:rPr>
          <w:rFonts w:ascii="Tw Cen MT" w:hAnsi="Tw Cen MT"/>
          <w:color w:val="215868"/>
        </w:rPr>
        <w:t xml:space="preserve">Frank </w:t>
      </w:r>
      <w:proofErr w:type="spellStart"/>
      <w:r>
        <w:rPr>
          <w:rFonts w:ascii="Tw Cen MT" w:hAnsi="Tw Cen MT"/>
          <w:color w:val="215868"/>
        </w:rPr>
        <w:t>Szoka</w:t>
      </w:r>
      <w:proofErr w:type="spellEnd"/>
      <w:r>
        <w:rPr>
          <w:rFonts w:ascii="Tw Cen MT" w:hAnsi="Tw Cen MT"/>
          <w:color w:val="215868"/>
        </w:rPr>
        <w:t xml:space="preserve"> (BTS), Crystal Zhou (CP)</w:t>
      </w:r>
    </w:p>
    <w:p w14:paraId="14D7F6D7" w14:textId="77777777" w:rsidR="00D94536" w:rsidRDefault="00D94536" w:rsidP="006B425B">
      <w:pPr>
        <w:rPr>
          <w:rFonts w:ascii="Tw Cen MT" w:hAnsi="Tw Cen MT"/>
          <w:b/>
          <w:bCs/>
          <w:color w:val="215868"/>
        </w:rPr>
      </w:pPr>
    </w:p>
    <w:p w14:paraId="37C36DF9" w14:textId="77777777" w:rsidR="008078F6" w:rsidRPr="008078F6" w:rsidRDefault="008078F6" w:rsidP="008078F6">
      <w:pPr>
        <w:rPr>
          <w:rFonts w:ascii="Tw Cen MT" w:hAnsi="Tw Cen MT"/>
          <w:b/>
          <w:bCs/>
          <w:color w:val="215868"/>
        </w:rPr>
      </w:pPr>
      <w:r w:rsidRPr="008078F6">
        <w:rPr>
          <w:rFonts w:ascii="Tw Cen MT" w:hAnsi="Tw Cen MT"/>
          <w:b/>
          <w:bCs/>
          <w:color w:val="215868"/>
        </w:rPr>
        <w:t>Handouts:  </w:t>
      </w:r>
    </w:p>
    <w:p w14:paraId="5F5EC9BD" w14:textId="77777777" w:rsidR="008078F6" w:rsidRPr="008078F6" w:rsidRDefault="00E30C86" w:rsidP="008078F6">
      <w:pPr>
        <w:pStyle w:val="ListParagraph"/>
        <w:numPr>
          <w:ilvl w:val="0"/>
          <w:numId w:val="11"/>
        </w:numPr>
        <w:contextualSpacing/>
        <w:rPr>
          <w:rFonts w:ascii="Tw Cen MT" w:hAnsi="Tw Cen MT"/>
          <w:bCs/>
          <w:color w:val="215868"/>
        </w:rPr>
      </w:pPr>
      <w:hyperlink r:id="rId7" w:history="1">
        <w:r w:rsidR="008078F6" w:rsidRPr="008078F6">
          <w:rPr>
            <w:rFonts w:ascii="Tw Cen MT" w:hAnsi="Tw Cen MT"/>
            <w:bCs/>
            <w:color w:val="215868"/>
          </w:rPr>
          <w:t xml:space="preserve">SOP Comp Plan Advisory Committee responsibilities with </w:t>
        </w:r>
        <w:proofErr w:type="gramStart"/>
        <w:r w:rsidR="008078F6" w:rsidRPr="008078F6">
          <w:rPr>
            <w:rFonts w:ascii="Tw Cen MT" w:hAnsi="Tw Cen MT"/>
            <w:bCs/>
            <w:color w:val="215868"/>
          </w:rPr>
          <w:t>2019-20 member</w:t>
        </w:r>
        <w:proofErr w:type="gramEnd"/>
        <w:r w:rsidR="008078F6" w:rsidRPr="008078F6">
          <w:rPr>
            <w:rFonts w:ascii="Tw Cen MT" w:hAnsi="Tw Cen MT"/>
            <w:bCs/>
            <w:color w:val="215868"/>
          </w:rPr>
          <w:t xml:space="preserve"> list</w:t>
        </w:r>
      </w:hyperlink>
    </w:p>
    <w:p w14:paraId="526E4129" w14:textId="77777777" w:rsidR="008078F6" w:rsidRPr="008078F6" w:rsidRDefault="008078F6" w:rsidP="008078F6">
      <w:pPr>
        <w:pStyle w:val="ListParagraph"/>
        <w:numPr>
          <w:ilvl w:val="0"/>
          <w:numId w:val="11"/>
        </w:numPr>
        <w:contextualSpacing/>
        <w:rPr>
          <w:rFonts w:ascii="Tw Cen MT" w:hAnsi="Tw Cen MT"/>
          <w:bCs/>
          <w:color w:val="215868"/>
        </w:rPr>
      </w:pPr>
      <w:r w:rsidRPr="008078F6">
        <w:rPr>
          <w:rFonts w:ascii="Tw Cen MT" w:hAnsi="Tw Cen MT"/>
          <w:bCs/>
          <w:color w:val="215868"/>
        </w:rPr>
        <w:t>Comp Plan Advisory Committee Minutes from May 9, 2019</w:t>
      </w:r>
    </w:p>
    <w:p w14:paraId="6AC69224" w14:textId="77777777" w:rsidR="008078F6" w:rsidRPr="008078F6" w:rsidRDefault="008078F6" w:rsidP="008078F6">
      <w:pPr>
        <w:pStyle w:val="ListParagraph"/>
        <w:numPr>
          <w:ilvl w:val="0"/>
          <w:numId w:val="11"/>
        </w:numPr>
        <w:contextualSpacing/>
        <w:rPr>
          <w:rFonts w:ascii="Tw Cen MT" w:hAnsi="Tw Cen MT"/>
          <w:bCs/>
          <w:color w:val="215868"/>
        </w:rPr>
      </w:pPr>
      <w:r w:rsidRPr="008078F6">
        <w:rPr>
          <w:rFonts w:ascii="Tw Cen MT" w:hAnsi="Tw Cen MT"/>
          <w:bCs/>
          <w:color w:val="215868"/>
        </w:rPr>
        <w:t>HSCP Salary Scales effective October 1, 2019</w:t>
      </w:r>
    </w:p>
    <w:p w14:paraId="107F2CCF" w14:textId="77777777" w:rsidR="006B425B" w:rsidRDefault="00C57261" w:rsidP="0002384D">
      <w:pPr>
        <w:rPr>
          <w:rFonts w:ascii="Tw Cen MT" w:hAnsi="Tw Cen MT"/>
          <w:b/>
          <w:bCs/>
          <w:color w:val="215868"/>
        </w:rPr>
      </w:pPr>
      <w:r>
        <w:rPr>
          <w:rFonts w:ascii="Tw Cen MT" w:hAnsi="Tw Cen MT"/>
          <w:b/>
          <w:bCs/>
          <w:noProof/>
          <w:color w:val="2158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08C6" wp14:editId="31DBE15D">
                <wp:simplePos x="0" y="0"/>
                <wp:positionH relativeFrom="column">
                  <wp:posOffset>-50800</wp:posOffset>
                </wp:positionH>
                <wp:positionV relativeFrom="paragraph">
                  <wp:posOffset>48532</wp:posOffset>
                </wp:positionV>
                <wp:extent cx="6059714" cy="29029"/>
                <wp:effectExtent l="0" t="0" r="36830" b="2857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9714" cy="290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53B7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.8pt" to="473.15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" strokecolor="#205867 [1608]"/>
            </w:pict>
          </mc:Fallback>
        </mc:AlternateContent>
      </w:r>
    </w:p>
    <w:p w14:paraId="79E6C83A" w14:textId="77777777" w:rsidR="0002384D" w:rsidRDefault="0002384D" w:rsidP="0002384D">
      <w:pPr>
        <w:rPr>
          <w:rFonts w:ascii="Tw Cen MT" w:hAnsi="Tw Cen MT"/>
          <w:b/>
          <w:bCs/>
          <w:color w:val="215868"/>
        </w:rPr>
      </w:pPr>
    </w:p>
    <w:p w14:paraId="259C60C4" w14:textId="77777777" w:rsidR="0002384D" w:rsidRPr="006C69BD" w:rsidRDefault="0002384D" w:rsidP="0002384D">
      <w:pPr>
        <w:rPr>
          <w:b/>
          <w:color w:val="000000"/>
        </w:rPr>
      </w:pPr>
      <w:r w:rsidRPr="006C69BD">
        <w:rPr>
          <w:rFonts w:ascii="Tw Cen MT" w:hAnsi="Tw Cen MT"/>
          <w:b/>
          <w:bCs/>
          <w:color w:val="215868"/>
        </w:rPr>
        <w:t>AGENDA:</w:t>
      </w:r>
    </w:p>
    <w:p w14:paraId="7B39173E" w14:textId="48A56CE7" w:rsidR="006B425B" w:rsidRDefault="0002384D" w:rsidP="0006692E">
      <w:pPr>
        <w:pStyle w:val="ListParagraph"/>
        <w:numPr>
          <w:ilvl w:val="0"/>
          <w:numId w:val="4"/>
        </w:numPr>
      </w:pPr>
      <w:r w:rsidRPr="006C69BD">
        <w:rPr>
          <w:rFonts w:ascii="Tw Cen MT" w:hAnsi="Tw Cen MT"/>
          <w:b/>
          <w:color w:val="215868"/>
        </w:rPr>
        <w:t>Welcome</w:t>
      </w:r>
      <w:r w:rsidR="001A2C22">
        <w:rPr>
          <w:rFonts w:ascii="Tw Cen MT" w:hAnsi="Tw Cen MT"/>
          <w:b/>
          <w:color w:val="215868"/>
        </w:rPr>
        <w:t>:</w:t>
      </w:r>
      <w:r w:rsidR="001D016E">
        <w:rPr>
          <w:rFonts w:ascii="Tw Cen MT" w:hAnsi="Tw Cen MT"/>
          <w:color w:val="215868"/>
        </w:rPr>
        <w:t xml:space="preserve"> </w:t>
      </w:r>
      <w:r w:rsidR="00E0072A">
        <w:t>Associate Dean Kearney</w:t>
      </w:r>
      <w:r w:rsidR="006B425B">
        <w:t xml:space="preserve"> began</w:t>
      </w:r>
      <w:r w:rsidR="00E0072A">
        <w:t xml:space="preserve"> the meeting</w:t>
      </w:r>
      <w:r w:rsidR="006B425B">
        <w:t xml:space="preserve"> </w:t>
      </w:r>
      <w:r w:rsidR="002D0963">
        <w:t>at 1:03</w:t>
      </w:r>
      <w:r w:rsidR="00652911">
        <w:t>pm</w:t>
      </w:r>
    </w:p>
    <w:p w14:paraId="2F88FD13" w14:textId="77777777" w:rsidR="00652911" w:rsidRPr="00652911" w:rsidRDefault="00652911" w:rsidP="00652911">
      <w:pPr>
        <w:ind w:left="360"/>
        <w:rPr>
          <w:rFonts w:ascii="Tw Cen MT" w:hAnsi="Tw Cen MT"/>
          <w:color w:val="215868"/>
        </w:rPr>
      </w:pPr>
    </w:p>
    <w:p w14:paraId="4CC16849" w14:textId="77777777" w:rsidR="0002384D" w:rsidRPr="006C69BD" w:rsidRDefault="0002384D" w:rsidP="0002384D">
      <w:pPr>
        <w:pStyle w:val="ListParagraph"/>
        <w:ind w:hanging="360"/>
        <w:rPr>
          <w:rFonts w:ascii="Tw Cen MT" w:hAnsi="Tw Cen MT"/>
          <w:b/>
          <w:color w:val="215868"/>
        </w:rPr>
      </w:pPr>
      <w:r w:rsidRPr="006C69BD">
        <w:rPr>
          <w:rFonts w:ascii="Tw Cen MT" w:hAnsi="Tw Cen MT"/>
          <w:b/>
          <w:color w:val="215868"/>
        </w:rPr>
        <w:t>2.</w:t>
      </w:r>
      <w:r w:rsidRPr="006C69BD">
        <w:rPr>
          <w:rFonts w:ascii="Times New Roman" w:hAnsi="Times New Roman"/>
          <w:b/>
          <w:color w:val="215868"/>
          <w:sz w:val="14"/>
          <w:szCs w:val="14"/>
        </w:rPr>
        <w:t xml:space="preserve">      </w:t>
      </w:r>
      <w:r w:rsidRPr="006C69BD">
        <w:rPr>
          <w:rFonts w:ascii="Tw Cen MT" w:hAnsi="Tw Cen MT"/>
          <w:b/>
          <w:color w:val="215868"/>
        </w:rPr>
        <w:t>Respons</w:t>
      </w:r>
      <w:r w:rsidR="00487B91">
        <w:rPr>
          <w:rFonts w:ascii="Tw Cen MT" w:hAnsi="Tw Cen MT"/>
          <w:b/>
          <w:color w:val="215868"/>
        </w:rPr>
        <w:t>ibilities of Advisory Committee</w:t>
      </w:r>
    </w:p>
    <w:p w14:paraId="1F5DD09B" w14:textId="5B2FCC13" w:rsidR="00D776A4" w:rsidRDefault="00A71E68" w:rsidP="00E0072A">
      <w:pPr>
        <w:pStyle w:val="ListParagraph"/>
      </w:pPr>
      <w:r>
        <w:t xml:space="preserve">The </w:t>
      </w:r>
      <w:r w:rsidR="00652911">
        <w:t xml:space="preserve">terms of the </w:t>
      </w:r>
      <w:r>
        <w:t xml:space="preserve">committee </w:t>
      </w:r>
      <w:r w:rsidR="00652911">
        <w:t xml:space="preserve">members were reviewed. </w:t>
      </w:r>
      <w:r w:rsidR="00E0072A">
        <w:t xml:space="preserve">June 30, 2020 marks the end of term one for Dean appointed members Drs. </w:t>
      </w:r>
      <w:proofErr w:type="spellStart"/>
      <w:r w:rsidR="00E0072A">
        <w:t>Szoka</w:t>
      </w:r>
      <w:proofErr w:type="spellEnd"/>
      <w:r w:rsidR="00E0072A">
        <w:t xml:space="preserve">, </w:t>
      </w:r>
      <w:proofErr w:type="spellStart"/>
      <w:r w:rsidR="00E0072A">
        <w:t>Seiple</w:t>
      </w:r>
      <w:proofErr w:type="spellEnd"/>
      <w:r w:rsidR="00E0072A">
        <w:t xml:space="preserve">, and </w:t>
      </w:r>
      <w:proofErr w:type="spellStart"/>
      <w:r w:rsidR="00E0072A">
        <w:t>Tamraz</w:t>
      </w:r>
      <w:proofErr w:type="spellEnd"/>
      <w:r w:rsidR="00E0072A">
        <w:t xml:space="preserve">. Reappointment for up to two terms is possible, to which Drs. </w:t>
      </w:r>
      <w:proofErr w:type="spellStart"/>
      <w:r w:rsidR="00E0072A">
        <w:t>Seiple</w:t>
      </w:r>
      <w:proofErr w:type="spellEnd"/>
      <w:r w:rsidR="00E0072A">
        <w:t xml:space="preserve"> and </w:t>
      </w:r>
      <w:proofErr w:type="spellStart"/>
      <w:r w:rsidR="00E0072A">
        <w:t>Tamraz</w:t>
      </w:r>
      <w:proofErr w:type="spellEnd"/>
      <w:r w:rsidR="00E0072A">
        <w:t xml:space="preserve"> expressed interest in. The terms for Drs. </w:t>
      </w:r>
      <w:proofErr w:type="spellStart"/>
      <w:r w:rsidR="00E0072A">
        <w:t>Savic</w:t>
      </w:r>
      <w:proofErr w:type="spellEnd"/>
      <w:r w:rsidR="00E0072A">
        <w:t xml:space="preserve">, Zhou, and Burlingame will end on June 30, 2021, </w:t>
      </w:r>
      <w:r w:rsidR="00DE41BF">
        <w:t xml:space="preserve">which will </w:t>
      </w:r>
      <w:r w:rsidR="00E0072A">
        <w:t>re</w:t>
      </w:r>
      <w:r w:rsidR="00DE41BF">
        <w:t xml:space="preserve">quire </w:t>
      </w:r>
      <w:r w:rsidR="00E0072A">
        <w:t xml:space="preserve">a </w:t>
      </w:r>
      <w:r w:rsidR="009A2CC6">
        <w:t xml:space="preserve">School-wide faculty  </w:t>
      </w:r>
      <w:r w:rsidR="00E0072A">
        <w:t>vote</w:t>
      </w:r>
      <w:r w:rsidR="006F244C">
        <w:t xml:space="preserve"> for membership</w:t>
      </w:r>
      <w:r w:rsidR="00E0072A">
        <w:t xml:space="preserve">. </w:t>
      </w:r>
      <w:r w:rsidR="00D03735">
        <w:t>T</w:t>
      </w:r>
      <w:r w:rsidR="008A1608">
        <w:t>he C</w:t>
      </w:r>
      <w:r w:rsidR="00D776A4" w:rsidRPr="0085419E">
        <w:t>ommittee</w:t>
      </w:r>
      <w:r w:rsidR="00D776A4">
        <w:t xml:space="preserve">’s charge and responsibilities </w:t>
      </w:r>
      <w:r w:rsidR="00487B91">
        <w:t xml:space="preserve">(handout #1) </w:t>
      </w:r>
      <w:r w:rsidR="00D03735">
        <w:t xml:space="preserve">were provided to the Committee as a reminder. The </w:t>
      </w:r>
      <w:r w:rsidR="0055497B">
        <w:t>handout</w:t>
      </w:r>
      <w:r w:rsidR="00D03735">
        <w:t xml:space="preserve"> is taken </w:t>
      </w:r>
      <w:r w:rsidR="00E0072A">
        <w:t xml:space="preserve">as </w:t>
      </w:r>
      <w:r w:rsidR="00D03735">
        <w:t xml:space="preserve">an excerpt from </w:t>
      </w:r>
      <w:r w:rsidR="006F244C">
        <w:t>the SOP Compensation P</w:t>
      </w:r>
      <w:r w:rsidR="00E0072A">
        <w:t>lan.</w:t>
      </w:r>
      <w:r w:rsidR="00B86EBE">
        <w:t xml:space="preserve"> </w:t>
      </w:r>
    </w:p>
    <w:p w14:paraId="6D1892D6" w14:textId="77777777" w:rsidR="00A71E68" w:rsidRPr="006C69BD" w:rsidRDefault="00A71E68" w:rsidP="0085419E">
      <w:pPr>
        <w:pStyle w:val="ListParagraph"/>
        <w:rPr>
          <w:b/>
        </w:rPr>
      </w:pPr>
    </w:p>
    <w:p w14:paraId="62C61559" w14:textId="71440F57" w:rsidR="0002384D" w:rsidRPr="006C69BD" w:rsidRDefault="0002384D" w:rsidP="0002384D">
      <w:pPr>
        <w:pStyle w:val="ListParagraph"/>
        <w:ind w:hanging="360"/>
        <w:rPr>
          <w:rFonts w:ascii="Tw Cen MT" w:hAnsi="Tw Cen MT"/>
          <w:b/>
          <w:color w:val="215868"/>
        </w:rPr>
      </w:pPr>
      <w:r w:rsidRPr="006C69BD">
        <w:rPr>
          <w:rFonts w:ascii="Tw Cen MT" w:hAnsi="Tw Cen MT"/>
          <w:b/>
          <w:color w:val="215868"/>
        </w:rPr>
        <w:t>3.</w:t>
      </w:r>
      <w:r w:rsidRPr="006C69BD">
        <w:rPr>
          <w:rFonts w:ascii="Times New Roman" w:hAnsi="Times New Roman"/>
          <w:b/>
          <w:color w:val="215868"/>
          <w:sz w:val="14"/>
          <w:szCs w:val="14"/>
        </w:rPr>
        <w:t xml:space="preserve">      </w:t>
      </w:r>
      <w:r w:rsidRPr="006C69BD">
        <w:rPr>
          <w:rFonts w:ascii="Tw Cen MT" w:hAnsi="Tw Cen MT"/>
          <w:b/>
          <w:color w:val="215868"/>
        </w:rPr>
        <w:t xml:space="preserve">Approval of Minutes from the </w:t>
      </w:r>
      <w:r w:rsidR="003C1969">
        <w:rPr>
          <w:rFonts w:ascii="Tw Cen MT" w:hAnsi="Tw Cen MT"/>
          <w:b/>
          <w:color w:val="215868"/>
        </w:rPr>
        <w:t>May 5, 2019</w:t>
      </w:r>
      <w:r w:rsidR="00761CAF" w:rsidRPr="006C69BD">
        <w:rPr>
          <w:rFonts w:ascii="Tw Cen MT" w:hAnsi="Tw Cen MT"/>
          <w:b/>
          <w:color w:val="215868"/>
        </w:rPr>
        <w:t xml:space="preserve"> </w:t>
      </w:r>
      <w:r w:rsidR="00DF3ECA">
        <w:rPr>
          <w:rFonts w:ascii="Tw Cen MT" w:hAnsi="Tw Cen MT"/>
          <w:b/>
          <w:color w:val="215868"/>
        </w:rPr>
        <w:t>meeting</w:t>
      </w:r>
    </w:p>
    <w:p w14:paraId="281872C0" w14:textId="128B30EE" w:rsidR="00180E8F" w:rsidRDefault="00EF38E9" w:rsidP="00285F5E">
      <w:pPr>
        <w:ind w:left="720"/>
        <w:rPr>
          <w:i/>
          <w:color w:val="000099"/>
          <w:sz w:val="24"/>
          <w:szCs w:val="24"/>
        </w:rPr>
      </w:pPr>
      <w:r>
        <w:t xml:space="preserve">Dr. </w:t>
      </w:r>
      <w:proofErr w:type="spellStart"/>
      <w:r w:rsidR="003C1969">
        <w:t>Seiple</w:t>
      </w:r>
      <w:proofErr w:type="spellEnd"/>
      <w:r w:rsidR="006B425B">
        <w:t xml:space="preserve"> </w:t>
      </w:r>
      <w:r w:rsidR="00565E30">
        <w:t>moved to approve the meeting minutes</w:t>
      </w:r>
      <w:r w:rsidR="00DF3ECA">
        <w:t xml:space="preserve"> (handout #2)</w:t>
      </w:r>
      <w:r w:rsidR="00565E30">
        <w:t xml:space="preserve">, </w:t>
      </w:r>
      <w:r>
        <w:t xml:space="preserve">Dr. </w:t>
      </w:r>
      <w:r w:rsidR="003C1969">
        <w:t>Burlingame</w:t>
      </w:r>
      <w:r w:rsidR="00565E30">
        <w:t xml:space="preserve"> provided the 2</w:t>
      </w:r>
      <w:r w:rsidR="00565E30" w:rsidRPr="00565E30">
        <w:rPr>
          <w:vertAlign w:val="superscript"/>
        </w:rPr>
        <w:t>nd</w:t>
      </w:r>
      <w:r w:rsidR="00565E30">
        <w:t xml:space="preserve"> motion. </w:t>
      </w:r>
      <w:r w:rsidR="002E014D">
        <w:t xml:space="preserve">The minutes were approved unanimously. </w:t>
      </w:r>
      <w:r w:rsidR="005944D9">
        <w:t>It should be noted that the topic of Childrearing Leave usage and whether or not Pharmacy would define usage (e.g., two 6-week blocks)</w:t>
      </w:r>
      <w:r w:rsidR="003C13ED">
        <w:t xml:space="preserve"> was </w:t>
      </w:r>
      <w:r w:rsidR="002E014D">
        <w:t>commented on</w:t>
      </w:r>
      <w:r w:rsidR="003C13ED">
        <w:t xml:space="preserve">. It was confirmed that Pharmacy would remain flexible, allowing Comp Plan </w:t>
      </w:r>
      <w:r w:rsidR="004252FB">
        <w:t>faculty</w:t>
      </w:r>
      <w:r w:rsidR="003C13ED">
        <w:t xml:space="preserve"> to use the</w:t>
      </w:r>
      <w:r w:rsidR="002E014D">
        <w:t xml:space="preserve"> 12-week benefit as appropriate</w:t>
      </w:r>
      <w:r w:rsidR="003C13ED">
        <w:t xml:space="preserve">. </w:t>
      </w:r>
      <w:r w:rsidR="00761CAF" w:rsidRPr="003C13ED">
        <w:rPr>
          <w:highlight w:val="yellow"/>
        </w:rPr>
        <w:t>Action</w:t>
      </w:r>
      <w:r w:rsidR="00BC5E58" w:rsidRPr="00BC5E58">
        <w:rPr>
          <w:highlight w:val="yellow"/>
          <w:vertAlign w:val="superscript"/>
        </w:rPr>
        <w:t>1</w:t>
      </w:r>
      <w:r w:rsidR="00761CAF">
        <w:t xml:space="preserve">: The accepted minutes </w:t>
      </w:r>
      <w:r w:rsidR="001366C2">
        <w:t xml:space="preserve">from the 05/05/19 meeting </w:t>
      </w:r>
      <w:r w:rsidR="00761CAF">
        <w:t>will be posted to the Academic Affairs website.</w:t>
      </w:r>
      <w:r w:rsidR="004B5A66">
        <w:t xml:space="preserve"> </w:t>
      </w:r>
      <w:proofErr w:type="spellStart"/>
      <w:r w:rsidR="0069423F">
        <w:t>Mrs</w:t>
      </w:r>
      <w:proofErr w:type="spellEnd"/>
      <w:r w:rsidR="0069423F">
        <w:t xml:space="preserve"> </w:t>
      </w:r>
      <w:proofErr w:type="spellStart"/>
      <w:r w:rsidR="0069423F">
        <w:t>Koeplin</w:t>
      </w:r>
      <w:proofErr w:type="spellEnd"/>
      <w:r w:rsidR="0069423F">
        <w:t xml:space="preserve"> </w:t>
      </w:r>
      <w:r w:rsidR="00180E8F">
        <w:t xml:space="preserve">will draft the </w:t>
      </w:r>
      <w:r w:rsidR="00180E8F">
        <w:rPr>
          <w:rFonts w:eastAsiaTheme="minorHAnsi" w:cstheme="minorBidi"/>
          <w:szCs w:val="21"/>
        </w:rPr>
        <w:t>annual summary report of activities to the Dean.</w:t>
      </w:r>
    </w:p>
    <w:p w14:paraId="642DF00A" w14:textId="4FC96988" w:rsidR="00565E30" w:rsidRDefault="00565E30" w:rsidP="003C13ED">
      <w:pPr>
        <w:pStyle w:val="ListParagraph"/>
      </w:pPr>
    </w:p>
    <w:p w14:paraId="4FF292CF" w14:textId="250804E2" w:rsidR="00D053BE" w:rsidRPr="00D053BE" w:rsidRDefault="00AA3098" w:rsidP="00D053BE">
      <w:pPr>
        <w:ind w:left="360"/>
        <w:contextualSpacing/>
        <w:rPr>
          <w:rFonts w:cstheme="minorHAnsi"/>
          <w:color w:val="000000" w:themeColor="text1"/>
          <w:sz w:val="21"/>
          <w:szCs w:val="21"/>
        </w:rPr>
      </w:pPr>
      <w:r w:rsidRPr="00D053BE">
        <w:rPr>
          <w:rFonts w:ascii="Tw Cen MT" w:hAnsi="Tw Cen MT"/>
          <w:b/>
          <w:color w:val="215868"/>
        </w:rPr>
        <w:t>4</w:t>
      </w:r>
      <w:r w:rsidR="0002384D" w:rsidRPr="00D053BE">
        <w:rPr>
          <w:rFonts w:ascii="Tw Cen MT" w:hAnsi="Tw Cen MT"/>
          <w:b/>
          <w:color w:val="215868"/>
        </w:rPr>
        <w:t>.</w:t>
      </w:r>
      <w:r w:rsidR="0002384D" w:rsidRPr="00D053BE">
        <w:rPr>
          <w:rFonts w:ascii="Times New Roman" w:hAnsi="Times New Roman"/>
          <w:b/>
          <w:color w:val="215868"/>
          <w:sz w:val="14"/>
          <w:szCs w:val="14"/>
        </w:rPr>
        <w:t>     </w:t>
      </w:r>
      <w:r w:rsidR="00D053BE" w:rsidRPr="00D053BE">
        <w:rPr>
          <w:rFonts w:ascii="Tw Cen MT" w:hAnsi="Tw Cen MT"/>
          <w:b/>
          <w:color w:val="215868"/>
        </w:rPr>
        <w:t>Outside Activity Training System (OATS) Disclosure Updates and Feedback</w:t>
      </w:r>
    </w:p>
    <w:p w14:paraId="3B8A9DBF" w14:textId="69A06843" w:rsidR="005F5D4E" w:rsidRDefault="004B51DF" w:rsidP="004B51DF">
      <w:pPr>
        <w:pStyle w:val="ListParagraph"/>
      </w:pPr>
      <w:r>
        <w:t xml:space="preserve">Implementation of </w:t>
      </w:r>
      <w:r w:rsidR="004252FB">
        <w:t xml:space="preserve">OATS, a </w:t>
      </w:r>
      <w:r>
        <w:t>web-based application through which faculty can report outside activities and income</w:t>
      </w:r>
      <w:r w:rsidR="0069423F">
        <w:t>, has been initiated for FY 18-19 OPA disclosures</w:t>
      </w:r>
      <w:r>
        <w:t xml:space="preserve">. </w:t>
      </w:r>
      <w:proofErr w:type="spellStart"/>
      <w:r w:rsidR="0069423F">
        <w:t>Mr</w:t>
      </w:r>
      <w:proofErr w:type="spellEnd"/>
      <w:r w:rsidR="0069423F">
        <w:t xml:space="preserve"> Babcock </w:t>
      </w:r>
      <w:r w:rsidR="006B129C">
        <w:t xml:space="preserve">continues to </w:t>
      </w:r>
      <w:r>
        <w:t>offer support to faculty</w:t>
      </w:r>
      <w:r w:rsidR="00BE748F">
        <w:t xml:space="preserve">, chairs and MSOs. </w:t>
      </w:r>
      <w:proofErr w:type="spellStart"/>
      <w:r w:rsidR="0069423F">
        <w:t>Mrs</w:t>
      </w:r>
      <w:proofErr w:type="spellEnd"/>
      <w:r w:rsidR="0069423F">
        <w:t xml:space="preserve"> </w:t>
      </w:r>
      <w:proofErr w:type="spellStart"/>
      <w:r w:rsidR="0069423F">
        <w:t>Koeplin</w:t>
      </w:r>
      <w:proofErr w:type="spellEnd"/>
      <w:r w:rsidR="0069423F">
        <w:t xml:space="preserve"> </w:t>
      </w:r>
      <w:r w:rsidR="00BE748F">
        <w:t>reviewed data regarding completion rates by Department, total hour/earning amounts</w:t>
      </w:r>
      <w:r>
        <w:t xml:space="preserve"> </w:t>
      </w:r>
      <w:r w:rsidRPr="004B51DF">
        <w:rPr>
          <w:color w:val="000000"/>
        </w:rPr>
        <w:t>by</w:t>
      </w:r>
      <w:r w:rsidR="00F676FD">
        <w:rPr>
          <w:color w:val="000000"/>
        </w:rPr>
        <w:t xml:space="preserve"> series and by rank. Of 76 Comp Plan faculty, 43 faculty have </w:t>
      </w:r>
      <w:r w:rsidR="001D5A86">
        <w:rPr>
          <w:color w:val="000000"/>
        </w:rPr>
        <w:t>completed the process</w:t>
      </w:r>
      <w:r w:rsidR="00F676FD">
        <w:rPr>
          <w:color w:val="000000"/>
        </w:rPr>
        <w:t xml:space="preserve">,  </w:t>
      </w:r>
      <w:r w:rsidR="00F576C0">
        <w:rPr>
          <w:color w:val="000000"/>
        </w:rPr>
        <w:t xml:space="preserve">25 are pending, and </w:t>
      </w:r>
      <w:r w:rsidR="00F676FD">
        <w:rPr>
          <w:color w:val="000000"/>
        </w:rPr>
        <w:t xml:space="preserve">8 </w:t>
      </w:r>
      <w:r w:rsidR="00392097">
        <w:rPr>
          <w:color w:val="000000"/>
        </w:rPr>
        <w:t>faculty have</w:t>
      </w:r>
      <w:r w:rsidR="00F676FD">
        <w:rPr>
          <w:color w:val="000000"/>
        </w:rPr>
        <w:t xml:space="preserve"> not </w:t>
      </w:r>
      <w:r w:rsidR="001D5A86">
        <w:rPr>
          <w:color w:val="000000"/>
        </w:rPr>
        <w:t xml:space="preserve">yet </w:t>
      </w:r>
      <w:r w:rsidR="00F676FD">
        <w:rPr>
          <w:color w:val="000000"/>
        </w:rPr>
        <w:t xml:space="preserve">submitted. </w:t>
      </w:r>
      <w:r w:rsidR="00DD0B4A" w:rsidRPr="004B51DF">
        <w:rPr>
          <w:color w:val="000000"/>
        </w:rPr>
        <w:t xml:space="preserve">Full Ladder Rank faculty </w:t>
      </w:r>
      <w:r w:rsidR="00DD0B4A">
        <w:rPr>
          <w:color w:val="000000"/>
        </w:rPr>
        <w:t xml:space="preserve">have the highest total hours and earnings. </w:t>
      </w:r>
      <w:r w:rsidR="00392097">
        <w:rPr>
          <w:color w:val="000000"/>
        </w:rPr>
        <w:t xml:space="preserve">Departments will continue to work </w:t>
      </w:r>
      <w:r w:rsidR="0035464C">
        <w:rPr>
          <w:color w:val="000000"/>
        </w:rPr>
        <w:t xml:space="preserve">on this </w:t>
      </w:r>
      <w:r w:rsidR="00436514">
        <w:rPr>
          <w:color w:val="000000"/>
        </w:rPr>
        <w:t>process</w:t>
      </w:r>
      <w:r w:rsidR="0035464C">
        <w:rPr>
          <w:color w:val="000000"/>
        </w:rPr>
        <w:t xml:space="preserve"> until completion as </w:t>
      </w:r>
      <w:r w:rsidR="00436514">
        <w:rPr>
          <w:color w:val="000000"/>
        </w:rPr>
        <w:t>non-reporting</w:t>
      </w:r>
      <w:r w:rsidR="0035464C">
        <w:rPr>
          <w:color w:val="000000"/>
        </w:rPr>
        <w:t xml:space="preserve"> is consequential.</w:t>
      </w:r>
      <w:r w:rsidR="00D37E49">
        <w:rPr>
          <w:color w:val="000000"/>
        </w:rPr>
        <w:t xml:space="preserve"> </w:t>
      </w:r>
      <w:r w:rsidR="0069423F">
        <w:rPr>
          <w:color w:val="000000"/>
        </w:rPr>
        <w:t xml:space="preserve">Dean Kearney </w:t>
      </w:r>
      <w:r w:rsidR="004C624F">
        <w:rPr>
          <w:color w:val="000000"/>
        </w:rPr>
        <w:t xml:space="preserve">stated  that </w:t>
      </w:r>
      <w:r w:rsidR="002518CA">
        <w:rPr>
          <w:color w:val="000000"/>
        </w:rPr>
        <w:t>under the IRS</w:t>
      </w:r>
      <w:r w:rsidR="004C624F">
        <w:rPr>
          <w:color w:val="000000"/>
        </w:rPr>
        <w:t xml:space="preserve"> principle</w:t>
      </w:r>
      <w:r w:rsidR="002518CA">
        <w:rPr>
          <w:color w:val="000000"/>
        </w:rPr>
        <w:t xml:space="preserve"> of</w:t>
      </w:r>
      <w:r w:rsidR="001E7179">
        <w:rPr>
          <w:color w:val="000000"/>
        </w:rPr>
        <w:t xml:space="preserve"> </w:t>
      </w:r>
      <w:r w:rsidR="00436514">
        <w:rPr>
          <w:color w:val="000000"/>
        </w:rPr>
        <w:t>constructive</w:t>
      </w:r>
      <w:r w:rsidR="001E7179">
        <w:rPr>
          <w:color w:val="000000"/>
        </w:rPr>
        <w:t xml:space="preserve"> recei</w:t>
      </w:r>
      <w:r w:rsidR="001D5A86">
        <w:rPr>
          <w:color w:val="000000"/>
        </w:rPr>
        <w:t>pt</w:t>
      </w:r>
      <w:r w:rsidR="004C624F">
        <w:rPr>
          <w:color w:val="000000"/>
        </w:rPr>
        <w:t>,</w:t>
      </w:r>
      <w:r w:rsidR="001D5A86">
        <w:rPr>
          <w:color w:val="000000"/>
        </w:rPr>
        <w:t xml:space="preserve"> </w:t>
      </w:r>
      <w:r w:rsidR="004C624F">
        <w:rPr>
          <w:color w:val="000000"/>
        </w:rPr>
        <w:t xml:space="preserve">it is </w:t>
      </w:r>
      <w:r w:rsidR="00954D27">
        <w:rPr>
          <w:color w:val="000000"/>
        </w:rPr>
        <w:t xml:space="preserve">the </w:t>
      </w:r>
      <w:r w:rsidR="0069423F">
        <w:rPr>
          <w:color w:val="000000"/>
        </w:rPr>
        <w:t xml:space="preserve">requirement that </w:t>
      </w:r>
      <w:r w:rsidR="00954D27">
        <w:rPr>
          <w:color w:val="000000"/>
        </w:rPr>
        <w:t xml:space="preserve"> OPA earnings </w:t>
      </w:r>
      <w:r w:rsidR="0069423F">
        <w:rPr>
          <w:color w:val="000000"/>
        </w:rPr>
        <w:t xml:space="preserve">be </w:t>
      </w:r>
      <w:r w:rsidR="00954D27">
        <w:rPr>
          <w:color w:val="000000"/>
        </w:rPr>
        <w:t xml:space="preserve">issued </w:t>
      </w:r>
      <w:r w:rsidR="0069423F">
        <w:rPr>
          <w:color w:val="000000"/>
        </w:rPr>
        <w:t xml:space="preserve">in </w:t>
      </w:r>
      <w:r w:rsidR="00954D27">
        <w:rPr>
          <w:color w:val="000000"/>
        </w:rPr>
        <w:t xml:space="preserve">the </w:t>
      </w:r>
      <w:r w:rsidR="0069423F">
        <w:rPr>
          <w:color w:val="000000"/>
        </w:rPr>
        <w:t xml:space="preserve">name of the </w:t>
      </w:r>
      <w:r w:rsidR="00954D27">
        <w:rPr>
          <w:color w:val="000000"/>
        </w:rPr>
        <w:t xml:space="preserve">faculty member, </w:t>
      </w:r>
      <w:r w:rsidR="00080EA4">
        <w:rPr>
          <w:color w:val="000000"/>
        </w:rPr>
        <w:t>rather than</w:t>
      </w:r>
      <w:r w:rsidR="00954D27">
        <w:rPr>
          <w:color w:val="000000"/>
        </w:rPr>
        <w:t xml:space="preserve"> </w:t>
      </w:r>
      <w:r w:rsidR="002518CA">
        <w:rPr>
          <w:color w:val="000000"/>
        </w:rPr>
        <w:t xml:space="preserve">payable to </w:t>
      </w:r>
      <w:r w:rsidR="00DA35EF">
        <w:rPr>
          <w:color w:val="000000"/>
        </w:rPr>
        <w:t xml:space="preserve">the </w:t>
      </w:r>
      <w:r w:rsidR="00954D27">
        <w:rPr>
          <w:color w:val="000000"/>
        </w:rPr>
        <w:t xml:space="preserve">UC Regents. </w:t>
      </w:r>
      <w:r w:rsidR="004C624F">
        <w:rPr>
          <w:color w:val="000000"/>
        </w:rPr>
        <w:t>The portion of OPA i</w:t>
      </w:r>
      <w:r w:rsidR="00351F10" w:rsidRPr="005F5D4E">
        <w:t xml:space="preserve">ncome that exceeds the threshold is to be submitted to the Comp Plan. </w:t>
      </w:r>
      <w:r w:rsidR="004C624F">
        <w:t xml:space="preserve">Associate Dean </w:t>
      </w:r>
      <w:r w:rsidR="00351F10" w:rsidRPr="005F5D4E">
        <w:t xml:space="preserve">Nordberg </w:t>
      </w:r>
      <w:r w:rsidR="004C624F">
        <w:t xml:space="preserve">will </w:t>
      </w:r>
      <w:r w:rsidR="00351F10" w:rsidRPr="005F5D4E">
        <w:t xml:space="preserve">provide a letter for the IRS, which </w:t>
      </w:r>
      <w:r w:rsidR="004C624F">
        <w:t>can be</w:t>
      </w:r>
      <w:r w:rsidR="004C624F" w:rsidRPr="005F5D4E">
        <w:t xml:space="preserve"> </w:t>
      </w:r>
      <w:r w:rsidR="00351F10" w:rsidRPr="005F5D4E">
        <w:t xml:space="preserve">attached to </w:t>
      </w:r>
      <w:r w:rsidR="001B4B83" w:rsidRPr="005F5D4E">
        <w:t xml:space="preserve">tax return, </w:t>
      </w:r>
      <w:r w:rsidR="004C624F">
        <w:t xml:space="preserve">to </w:t>
      </w:r>
      <w:r w:rsidR="00351F10" w:rsidRPr="005F5D4E">
        <w:t>prevent double taxation</w:t>
      </w:r>
      <w:r w:rsidR="004C624F">
        <w:t xml:space="preserve"> of the faculty member on these earnings (since the OPA income provided to the Comp Plan may be included on the faculty member’s W-2 wages for UCSF)</w:t>
      </w:r>
      <w:r w:rsidR="00351F10" w:rsidRPr="005F5D4E">
        <w:t xml:space="preserve">.  Faculty then </w:t>
      </w:r>
      <w:r w:rsidR="00E51376">
        <w:t>have the option t</w:t>
      </w:r>
      <w:r w:rsidR="005B4AFE" w:rsidRPr="005F5D4E">
        <w:t>o</w:t>
      </w:r>
      <w:r w:rsidR="00351F10" w:rsidRPr="005F5D4E">
        <w:t xml:space="preserve"> receive </w:t>
      </w:r>
      <w:r w:rsidR="00351F10" w:rsidRPr="005F5D4E">
        <w:lastRenderedPageBreak/>
        <w:t>the income back as a Z payment minus a 10% tax to cover benefits</w:t>
      </w:r>
      <w:r w:rsidR="00E51376">
        <w:t xml:space="preserve">. </w:t>
      </w:r>
      <w:r w:rsidR="001B4B83" w:rsidRPr="005F5D4E">
        <w:t xml:space="preserve">Per the Comp Plan </w:t>
      </w:r>
      <w:r w:rsidR="001B4B83">
        <w:t>(page 22)</w:t>
      </w:r>
      <w:r w:rsidR="001B4B83" w:rsidRPr="005F5D4E">
        <w:t>, “</w:t>
      </w:r>
      <w:r w:rsidR="001B4B83">
        <w:t>Income due to the Compensation Plan that is designated for Z payments will be assessed at 10%”.</w:t>
      </w:r>
      <w:r w:rsidR="008E117A">
        <w:t xml:space="preserve"> The </w:t>
      </w:r>
      <w:r w:rsidR="001E5C30">
        <w:t>alternative</w:t>
      </w:r>
      <w:r w:rsidR="008E117A">
        <w:t xml:space="preserve"> option is to </w:t>
      </w:r>
      <w:r w:rsidR="008E117A" w:rsidRPr="00CC585F">
        <w:t>deposit the funds into a faculty enrichment fund</w:t>
      </w:r>
      <w:r w:rsidR="004C624F">
        <w:t xml:space="preserve">, in which this option needs to be declared prior to the </w:t>
      </w:r>
      <w:r w:rsidR="009F1EFE">
        <w:t>Fiscal year</w:t>
      </w:r>
      <w:r w:rsidR="008E117A" w:rsidRPr="00CC585F">
        <w:t>.</w:t>
      </w:r>
    </w:p>
    <w:p w14:paraId="67B86D3D" w14:textId="77777777" w:rsidR="005F5D4E" w:rsidRDefault="005F5D4E" w:rsidP="004B51DF">
      <w:pPr>
        <w:pStyle w:val="ListParagraph"/>
      </w:pPr>
    </w:p>
    <w:p w14:paraId="3AC63A93" w14:textId="513C46D7" w:rsidR="002E6689" w:rsidRPr="002E6689" w:rsidRDefault="009E51A2" w:rsidP="002E6689">
      <w:pPr>
        <w:ind w:left="720" w:hanging="360"/>
        <w:contextualSpacing/>
        <w:rPr>
          <w:rFonts w:cstheme="minorHAnsi"/>
          <w:color w:val="000000" w:themeColor="text1"/>
          <w:sz w:val="21"/>
          <w:szCs w:val="21"/>
        </w:rPr>
      </w:pPr>
      <w:r w:rsidRPr="002E6689">
        <w:rPr>
          <w:rFonts w:ascii="Tw Cen MT" w:hAnsi="Tw Cen MT"/>
          <w:b/>
          <w:color w:val="215868"/>
        </w:rPr>
        <w:t xml:space="preserve">5. </w:t>
      </w:r>
      <w:r w:rsidR="002E6689">
        <w:rPr>
          <w:rFonts w:ascii="Tw Cen MT" w:hAnsi="Tw Cen MT"/>
          <w:b/>
          <w:color w:val="215868"/>
        </w:rPr>
        <w:tab/>
      </w:r>
      <w:r w:rsidR="002E6689" w:rsidRPr="002E6689">
        <w:rPr>
          <w:rFonts w:ascii="Tw Cen MT" w:hAnsi="Tw Cen MT"/>
          <w:b/>
          <w:color w:val="215868"/>
        </w:rPr>
        <w:t>HSCP Changes/Clarifications</w:t>
      </w:r>
      <w:r w:rsidR="002E6689" w:rsidRPr="002E6689">
        <w:rPr>
          <w:rFonts w:cstheme="minorHAnsi"/>
          <w:color w:val="000000" w:themeColor="text1"/>
          <w:sz w:val="21"/>
          <w:szCs w:val="21"/>
        </w:rPr>
        <w:t> </w:t>
      </w:r>
    </w:p>
    <w:p w14:paraId="2C50AB08" w14:textId="4DC83299" w:rsidR="00B54BC4" w:rsidRDefault="00823194" w:rsidP="00B26329">
      <w:pPr>
        <w:ind w:left="720"/>
      </w:pPr>
      <w:r w:rsidRPr="00823194">
        <w:t xml:space="preserve">There </w:t>
      </w:r>
      <w:r w:rsidR="00441B1D">
        <w:t>were</w:t>
      </w:r>
      <w:r w:rsidR="00441B1D" w:rsidRPr="00823194">
        <w:t xml:space="preserve"> </w:t>
      </w:r>
      <w:r w:rsidRPr="00823194">
        <w:t>no substantial changes suggested for the Comp Plan. The only p</w:t>
      </w:r>
      <w:r w:rsidR="006C1282" w:rsidRPr="006C1282">
        <w:t>roposed</w:t>
      </w:r>
      <w:r>
        <w:t xml:space="preserve"> changes </w:t>
      </w:r>
      <w:r w:rsidR="002B4275">
        <w:t xml:space="preserve">were </w:t>
      </w:r>
      <w:r>
        <w:t>to clarify</w:t>
      </w:r>
      <w:r w:rsidR="006C1282" w:rsidRPr="006C1282">
        <w:t xml:space="preserve"> </w:t>
      </w:r>
      <w:r w:rsidR="00892387">
        <w:t xml:space="preserve">the </w:t>
      </w:r>
      <w:r w:rsidR="006C1282" w:rsidRPr="006C1282">
        <w:t>periods of time referenced</w:t>
      </w:r>
      <w:r w:rsidR="00441B1D">
        <w:t xml:space="preserve"> in the Comp Plan</w:t>
      </w:r>
      <w:r w:rsidR="006C1282" w:rsidRPr="006C1282">
        <w:t xml:space="preserve">, so that the </w:t>
      </w:r>
      <w:r w:rsidR="00441B1D">
        <w:t xml:space="preserve">time </w:t>
      </w:r>
      <w:r w:rsidR="006C1282" w:rsidRPr="006C1282">
        <w:t xml:space="preserve">period intended </w:t>
      </w:r>
      <w:r w:rsidR="00441B1D">
        <w:t>for benefits or other requirements are</w:t>
      </w:r>
      <w:r w:rsidR="006C1282" w:rsidRPr="006C1282">
        <w:t xml:space="preserve"> not misconstrued by any </w:t>
      </w:r>
      <w:r w:rsidR="00441B1D">
        <w:t>Comp Plan</w:t>
      </w:r>
      <w:r w:rsidR="00441B1D" w:rsidRPr="006C1282">
        <w:t xml:space="preserve"> </w:t>
      </w:r>
      <w:r w:rsidR="006C1282" w:rsidRPr="006C1282">
        <w:t>reader.</w:t>
      </w:r>
      <w:r w:rsidR="00892387">
        <w:t xml:space="preserve"> </w:t>
      </w:r>
      <w:r w:rsidRPr="00823194">
        <w:t xml:space="preserve">The suggestions will be to clarify calendar days versus working days where just “days” is currently written; whether “month(s)” means calendar months or 30 consecutive days; and to clarify whether a mention of “year” means calendar year, fiscal year, or 365 consecutive days. </w:t>
      </w:r>
      <w:r w:rsidR="0034734A">
        <w:t>Clarification ensures that benefit</w:t>
      </w:r>
      <w:r w:rsidR="000E4A83">
        <w:t xml:space="preserve">s are </w:t>
      </w:r>
      <w:r w:rsidR="0034734A">
        <w:t>applied consistently</w:t>
      </w:r>
      <w:r w:rsidR="000E4A83">
        <w:t xml:space="preserve">. </w:t>
      </w:r>
      <w:proofErr w:type="spellStart"/>
      <w:r w:rsidR="00441B1D">
        <w:t>Mr</w:t>
      </w:r>
      <w:proofErr w:type="spellEnd"/>
      <w:r w:rsidR="00441B1D">
        <w:t xml:space="preserve"> Babcock </w:t>
      </w:r>
      <w:r w:rsidR="00BC5E58">
        <w:t>provided a summary of examples to the ambiguous language mainly found in the Benefit section</w:t>
      </w:r>
      <w:r w:rsidR="00441B1D">
        <w:t xml:space="preserve"> of the Comp Plan</w:t>
      </w:r>
      <w:r w:rsidR="00BC5E58">
        <w:t xml:space="preserve">. </w:t>
      </w:r>
      <w:r w:rsidR="00441B1D">
        <w:t xml:space="preserve">The </w:t>
      </w:r>
      <w:r w:rsidR="00F45CB0">
        <w:t xml:space="preserve">CPAC </w:t>
      </w:r>
      <w:r w:rsidR="000E4A83">
        <w:t xml:space="preserve">accepted the recommended changes with a motion to move forward. </w:t>
      </w:r>
      <w:r w:rsidR="000E4A83" w:rsidRPr="00BC5E58">
        <w:rPr>
          <w:highlight w:val="yellow"/>
        </w:rPr>
        <w:t>Action</w:t>
      </w:r>
      <w:r w:rsidR="00A66904" w:rsidRPr="00A66904">
        <w:rPr>
          <w:highlight w:val="yellow"/>
          <w:vertAlign w:val="superscript"/>
        </w:rPr>
        <w:t>2</w:t>
      </w:r>
      <w:r w:rsidR="000E4A83">
        <w:t xml:space="preserve">: </w:t>
      </w:r>
      <w:r w:rsidR="00D60849">
        <w:t xml:space="preserve">The </w:t>
      </w:r>
      <w:r w:rsidR="0036100A">
        <w:t xml:space="preserve">recommended </w:t>
      </w:r>
      <w:r w:rsidR="001366C2">
        <w:t>clarifications to</w:t>
      </w:r>
      <w:r w:rsidR="000D494C">
        <w:t>wards</w:t>
      </w:r>
      <w:r w:rsidR="001366C2">
        <w:t xml:space="preserve"> periods of time found in the Comp Plan</w:t>
      </w:r>
      <w:r w:rsidR="0036100A">
        <w:t xml:space="preserve"> will be presented to Dean</w:t>
      </w:r>
      <w:r w:rsidR="00B26329">
        <w:t xml:space="preserve"> Guglielmo</w:t>
      </w:r>
      <w:r w:rsidR="00C66102">
        <w:t xml:space="preserve">, requesting </w:t>
      </w:r>
      <w:r w:rsidR="0067302A">
        <w:t>approval</w:t>
      </w:r>
      <w:r w:rsidR="0036100A">
        <w:t xml:space="preserve"> in time for July 1, 2020</w:t>
      </w:r>
      <w:r w:rsidR="00C66102">
        <w:t xml:space="preserve"> implementation.</w:t>
      </w:r>
      <w:r w:rsidR="00B26329">
        <w:t xml:space="preserve"> </w:t>
      </w:r>
    </w:p>
    <w:p w14:paraId="61FB310C" w14:textId="77777777" w:rsidR="001303CC" w:rsidRDefault="001303CC" w:rsidP="0056207D">
      <w:pPr>
        <w:pStyle w:val="PlainText"/>
        <w:ind w:left="720"/>
      </w:pPr>
    </w:p>
    <w:p w14:paraId="7C957A17" w14:textId="1C8B078A" w:rsidR="001303CC" w:rsidRPr="00ED7B66" w:rsidRDefault="00986F5A" w:rsidP="00B56609">
      <w:pPr>
        <w:pStyle w:val="ListParagraph"/>
        <w:ind w:left="360"/>
        <w:contextualSpacing/>
        <w:rPr>
          <w:rFonts w:ascii="Tw Cen MT" w:hAnsi="Tw Cen MT"/>
          <w:b/>
          <w:color w:val="215868"/>
        </w:rPr>
      </w:pPr>
      <w:r>
        <w:rPr>
          <w:rFonts w:ascii="Tw Cen MT" w:hAnsi="Tw Cen MT"/>
          <w:b/>
          <w:color w:val="215868"/>
        </w:rPr>
        <w:t>6. </w:t>
      </w:r>
      <w:r>
        <w:rPr>
          <w:rFonts w:ascii="Tw Cen MT" w:hAnsi="Tw Cen MT"/>
          <w:b/>
          <w:color w:val="215868"/>
        </w:rPr>
        <w:tab/>
      </w:r>
      <w:r w:rsidR="00A66904" w:rsidRPr="00A66904">
        <w:rPr>
          <w:rFonts w:ascii="Tw Cen MT" w:hAnsi="Tw Cen MT"/>
          <w:b/>
          <w:color w:val="215868"/>
        </w:rPr>
        <w:t>Academic Salary Program, October 1st Changes</w:t>
      </w:r>
    </w:p>
    <w:p w14:paraId="51A53F45" w14:textId="6906EC81" w:rsidR="004521CE" w:rsidRDefault="00CD349D" w:rsidP="00E1027E">
      <w:pPr>
        <w:pStyle w:val="PlainText"/>
        <w:ind w:left="720"/>
      </w:pPr>
      <w:r>
        <w:t xml:space="preserve">The </w:t>
      </w:r>
      <w:r w:rsidR="00C91451">
        <w:t xml:space="preserve">Academic Salary Program was discussed and the updated table for Scale 3 (handout #3) was provided. </w:t>
      </w:r>
      <w:r w:rsidR="00A067D5">
        <w:t xml:space="preserve">FY </w:t>
      </w:r>
      <w:r w:rsidR="004521CE">
        <w:t xml:space="preserve">2019-20 marks year two of an academic salary program that focuses on rebuilding competitive salaries for academics. This multi-year program is designed to reduce the salary gap with the Comparison 8 peer institutions and to provide competitive and equitable salaries. The </w:t>
      </w:r>
    </w:p>
    <w:p w14:paraId="06063ACD" w14:textId="536B7061" w:rsidR="004521CE" w:rsidRDefault="004521CE" w:rsidP="00622F93">
      <w:pPr>
        <w:pStyle w:val="PlainText"/>
        <w:ind w:left="720"/>
      </w:pPr>
      <w:r>
        <w:t xml:space="preserve">scales increased by the general </w:t>
      </w:r>
      <w:r w:rsidR="00A067D5">
        <w:t xml:space="preserve">annual </w:t>
      </w:r>
      <w:r>
        <w:t xml:space="preserve">range adjustment of 4%. Due to the delay in implementation, effective October 1, 2019, the average increase was actually 5.33% to adjust over nine months. </w:t>
      </w:r>
      <w:r w:rsidR="004B5059">
        <w:t xml:space="preserve">There </w:t>
      </w:r>
      <w:r w:rsidR="00A067D5">
        <w:t xml:space="preserve">was </w:t>
      </w:r>
      <w:r w:rsidR="004B5059">
        <w:t xml:space="preserve">a concern that </w:t>
      </w:r>
      <w:r w:rsidR="00720137">
        <w:t xml:space="preserve">the unfunded mandates </w:t>
      </w:r>
      <w:r w:rsidR="00E41148">
        <w:t>associated with the increase in HSCP salary scales may be</w:t>
      </w:r>
      <w:r w:rsidR="00720137">
        <w:t xml:space="preserve"> unsustainable</w:t>
      </w:r>
      <w:r w:rsidR="00E41148">
        <w:t xml:space="preserve"> for Departments</w:t>
      </w:r>
      <w:r w:rsidR="00720137">
        <w:t xml:space="preserve">. </w:t>
      </w:r>
      <w:r w:rsidR="004B5059">
        <w:t xml:space="preserve">Departments </w:t>
      </w:r>
      <w:r w:rsidR="00A067D5">
        <w:t xml:space="preserve">may </w:t>
      </w:r>
      <w:r w:rsidR="004B5059">
        <w:t>cover the increased X and X’, by reducing the Y,</w:t>
      </w:r>
      <w:r w:rsidR="00A067D5">
        <w:t xml:space="preserve"> potentially</w:t>
      </w:r>
      <w:r w:rsidR="004B5059">
        <w:t xml:space="preserve"> leaving faculty without a cost of living increase.</w:t>
      </w:r>
      <w:r w:rsidR="00720137">
        <w:t xml:space="preserve"> Changes to the retirement plan</w:t>
      </w:r>
      <w:r w:rsidR="00AE1DAD">
        <w:t xml:space="preserve"> cap</w:t>
      </w:r>
      <w:r w:rsidR="00720137">
        <w:t xml:space="preserve"> and the increase </w:t>
      </w:r>
      <w:r w:rsidR="00E41148">
        <w:t xml:space="preserve">in </w:t>
      </w:r>
      <w:r w:rsidR="00720137">
        <w:t xml:space="preserve">UCRP contributions </w:t>
      </w:r>
      <w:r w:rsidR="00E41148">
        <w:t>(by faculty and Departments) may contribute to the financial burden</w:t>
      </w:r>
      <w:r w:rsidR="00720137">
        <w:t>.</w:t>
      </w:r>
    </w:p>
    <w:p w14:paraId="2C16C389" w14:textId="77777777" w:rsidR="004521CE" w:rsidRDefault="004521CE" w:rsidP="00E1027E">
      <w:pPr>
        <w:pStyle w:val="PlainText"/>
        <w:ind w:left="720"/>
      </w:pPr>
    </w:p>
    <w:p w14:paraId="47737305" w14:textId="24240846" w:rsidR="00FE0E1A" w:rsidRPr="006E2EBD" w:rsidRDefault="008C2730" w:rsidP="00982994">
      <w:pPr>
        <w:pStyle w:val="ListParagraph"/>
        <w:ind w:left="360"/>
        <w:contextualSpacing/>
        <w:rPr>
          <w:rFonts w:cstheme="minorHAnsi"/>
          <w:color w:val="000000" w:themeColor="text1"/>
          <w:sz w:val="21"/>
          <w:szCs w:val="21"/>
        </w:rPr>
      </w:pPr>
      <w:r>
        <w:rPr>
          <w:rFonts w:ascii="Tw Cen MT" w:hAnsi="Tw Cen MT"/>
          <w:b/>
          <w:color w:val="215868"/>
        </w:rPr>
        <w:t>7</w:t>
      </w:r>
      <w:r w:rsidRPr="00ED7B66">
        <w:rPr>
          <w:rFonts w:ascii="Tw Cen MT" w:hAnsi="Tw Cen MT"/>
          <w:b/>
          <w:color w:val="215868"/>
        </w:rPr>
        <w:t>. </w:t>
      </w:r>
      <w:r w:rsidRPr="00ED7B66">
        <w:rPr>
          <w:rFonts w:ascii="Tw Cen MT" w:hAnsi="Tw Cen MT"/>
          <w:b/>
          <w:color w:val="215868"/>
        </w:rPr>
        <w:tab/>
      </w:r>
      <w:r w:rsidR="00FE0E1A" w:rsidRPr="00FE0E1A">
        <w:rPr>
          <w:rFonts w:ascii="Tw Cen MT" w:hAnsi="Tw Cen MT"/>
          <w:b/>
          <w:color w:val="215868"/>
        </w:rPr>
        <w:t>Salary Analysis on unfunded HSCP Scale Increases</w:t>
      </w:r>
    </w:p>
    <w:p w14:paraId="52825535" w14:textId="67FE4E68" w:rsidR="00CD349D" w:rsidRPr="00BD7ED0" w:rsidRDefault="00982994" w:rsidP="00C33C83">
      <w:pPr>
        <w:pStyle w:val="PlainText"/>
        <w:ind w:left="720"/>
      </w:pPr>
      <w:r>
        <w:t>T</w:t>
      </w:r>
      <w:r w:rsidR="00FF0107">
        <w:t>he Dean’s Office is</w:t>
      </w:r>
      <w:r w:rsidR="00CD349D">
        <w:t xml:space="preserve"> </w:t>
      </w:r>
      <w:r>
        <w:t>evaluating</w:t>
      </w:r>
      <w:r w:rsidR="00FF0107" w:rsidRPr="00BD7ED0">
        <w:t xml:space="preserve"> the financial impact </w:t>
      </w:r>
      <w:r w:rsidR="00C33C83">
        <w:t xml:space="preserve">of increasing the HSCP scales on funding </w:t>
      </w:r>
      <w:r w:rsidR="009648F8">
        <w:t xml:space="preserve">sources </w:t>
      </w:r>
      <w:r w:rsidR="00C33C83">
        <w:t>for faculty</w:t>
      </w:r>
      <w:r w:rsidR="00C33C83" w:rsidRPr="00BD7ED0">
        <w:t xml:space="preserve">, </w:t>
      </w:r>
      <w:r w:rsidR="00FF0107" w:rsidRPr="00BD7ED0">
        <w:t xml:space="preserve">due to the unfunded mandate. </w:t>
      </w:r>
      <w:r w:rsidR="00C33C83" w:rsidRPr="00BD7ED0">
        <w:t xml:space="preserve">The analysis will </w:t>
      </w:r>
      <w:r w:rsidR="009648F8">
        <w:t>determine</w:t>
      </w:r>
      <w:r w:rsidR="00C33C83" w:rsidRPr="00BD7ED0">
        <w:t xml:space="preserve"> </w:t>
      </w:r>
      <w:r w:rsidR="001D10F7">
        <w:t>if</w:t>
      </w:r>
      <w:r w:rsidR="001D10F7" w:rsidRPr="00BD7ED0">
        <w:t xml:space="preserve"> </w:t>
      </w:r>
      <w:r w:rsidR="00B36F30">
        <w:t>increasing</w:t>
      </w:r>
      <w:r w:rsidR="004261C5">
        <w:t xml:space="preserve"> the faculty salary scales </w:t>
      </w:r>
      <w:r w:rsidR="001D10F7">
        <w:t>without</w:t>
      </w:r>
      <w:r w:rsidR="004261C5">
        <w:t xml:space="preserve"> providing any funding or adjustmen</w:t>
      </w:r>
      <w:r w:rsidR="00C33C83">
        <w:t>ts to support those new scales</w:t>
      </w:r>
      <w:r w:rsidR="001D10F7">
        <w:t>,</w:t>
      </w:r>
      <w:r w:rsidR="00C33C83">
        <w:t xml:space="preserve"> is </w:t>
      </w:r>
      <w:r w:rsidR="001D10F7">
        <w:t xml:space="preserve">financially </w:t>
      </w:r>
      <w:r w:rsidR="00C33C83">
        <w:t>sustainable.</w:t>
      </w:r>
      <w:r w:rsidR="00AE1DAD">
        <w:t xml:space="preserve"> The analysis will include the financial impact due to the unfunded HSCP scale increases,  as well as the NIH cap, SOP’s increase from Scale 2 to Scale 3, and the percentage of Y salary </w:t>
      </w:r>
      <w:r w:rsidR="00A70A1D">
        <w:t>to X salary. Final analysis will be provided to Dean Guglielmo.</w:t>
      </w:r>
    </w:p>
    <w:p w14:paraId="6D0BB23C" w14:textId="77777777" w:rsidR="0044111F" w:rsidRDefault="0044111F" w:rsidP="009E496C">
      <w:pPr>
        <w:pStyle w:val="PlainText"/>
        <w:ind w:left="720"/>
      </w:pPr>
    </w:p>
    <w:p w14:paraId="6D288667" w14:textId="319676F6" w:rsidR="004477CD" w:rsidRPr="006E2EBD" w:rsidRDefault="008C2730" w:rsidP="004F1969">
      <w:pPr>
        <w:pStyle w:val="ListParagraph"/>
        <w:ind w:left="360"/>
        <w:contextualSpacing/>
        <w:rPr>
          <w:rFonts w:cstheme="minorHAnsi"/>
          <w:color w:val="000000" w:themeColor="text1"/>
          <w:sz w:val="21"/>
          <w:szCs w:val="21"/>
        </w:rPr>
      </w:pPr>
      <w:r>
        <w:rPr>
          <w:rFonts w:ascii="Tw Cen MT" w:hAnsi="Tw Cen MT"/>
          <w:b/>
          <w:color w:val="215868"/>
        </w:rPr>
        <w:t>8</w:t>
      </w:r>
      <w:r w:rsidR="00BE37AE" w:rsidRPr="0006692E">
        <w:rPr>
          <w:rFonts w:ascii="Tw Cen MT" w:hAnsi="Tw Cen MT"/>
          <w:b/>
          <w:color w:val="215868"/>
        </w:rPr>
        <w:t>.</w:t>
      </w:r>
      <w:r w:rsidR="00BE37AE" w:rsidRPr="0006692E">
        <w:rPr>
          <w:rFonts w:ascii="Times New Roman" w:hAnsi="Times New Roman"/>
          <w:b/>
          <w:color w:val="215868"/>
          <w:sz w:val="14"/>
          <w:szCs w:val="14"/>
        </w:rPr>
        <w:t xml:space="preserve">      </w:t>
      </w:r>
      <w:r w:rsidR="004477CD" w:rsidRPr="004477CD">
        <w:rPr>
          <w:rFonts w:ascii="Tw Cen MT" w:hAnsi="Tw Cen MT"/>
          <w:b/>
          <w:color w:val="215868"/>
        </w:rPr>
        <w:t>Benefits through Faculty Family-Friendly Initiative (3FI)</w:t>
      </w:r>
    </w:p>
    <w:p w14:paraId="6913EFDD" w14:textId="2DC4F12A" w:rsidR="004D1AFD" w:rsidRDefault="00BE37AE" w:rsidP="00BE37AE">
      <w:pPr>
        <w:pStyle w:val="ListParagraph"/>
        <w:ind w:hanging="360"/>
        <w:rPr>
          <w:rFonts w:eastAsiaTheme="minorHAnsi" w:cstheme="minorBidi"/>
          <w:szCs w:val="21"/>
        </w:rPr>
      </w:pPr>
      <w:r w:rsidRPr="0054494B">
        <w:rPr>
          <w:rFonts w:eastAsiaTheme="minorHAnsi" w:cstheme="minorBidi"/>
          <w:szCs w:val="21"/>
        </w:rPr>
        <w:t xml:space="preserve"> </w:t>
      </w:r>
      <w:r w:rsidR="0054494B" w:rsidRPr="0054494B">
        <w:rPr>
          <w:rFonts w:eastAsiaTheme="minorHAnsi" w:cstheme="minorBidi"/>
          <w:szCs w:val="21"/>
        </w:rPr>
        <w:tab/>
        <w:t xml:space="preserve">3FI benefits were discussed with the intention to promote </w:t>
      </w:r>
      <w:r w:rsidR="009E7CFB">
        <w:rPr>
          <w:rFonts w:eastAsiaTheme="minorHAnsi" w:cstheme="minorBidi"/>
          <w:szCs w:val="21"/>
        </w:rPr>
        <w:t>awarene</w:t>
      </w:r>
      <w:r w:rsidR="00436514">
        <w:rPr>
          <w:rFonts w:eastAsiaTheme="minorHAnsi" w:cstheme="minorBidi"/>
          <w:szCs w:val="21"/>
        </w:rPr>
        <w:t>ss</w:t>
      </w:r>
      <w:r w:rsidR="009E7CFB">
        <w:rPr>
          <w:rFonts w:eastAsiaTheme="minorHAnsi" w:cstheme="minorBidi"/>
          <w:szCs w:val="21"/>
        </w:rPr>
        <w:t xml:space="preserve"> </w:t>
      </w:r>
      <w:r w:rsidR="0054494B" w:rsidRPr="0054494B">
        <w:rPr>
          <w:rFonts w:eastAsiaTheme="minorHAnsi" w:cstheme="minorBidi"/>
          <w:szCs w:val="21"/>
        </w:rPr>
        <w:t>among SOP faculty.</w:t>
      </w:r>
      <w:r w:rsidR="00F579E2">
        <w:rPr>
          <w:rFonts w:eastAsiaTheme="minorHAnsi" w:cstheme="minorBidi"/>
          <w:szCs w:val="21"/>
        </w:rPr>
        <w:t xml:space="preserve"> Factsheets for each </w:t>
      </w:r>
      <w:r w:rsidR="006E74B5">
        <w:rPr>
          <w:rFonts w:eastAsiaTheme="minorHAnsi" w:cstheme="minorBidi"/>
          <w:szCs w:val="21"/>
        </w:rPr>
        <w:t>benefit</w:t>
      </w:r>
      <w:r w:rsidR="00F579E2">
        <w:rPr>
          <w:rFonts w:eastAsiaTheme="minorHAnsi" w:cstheme="minorBidi"/>
          <w:szCs w:val="21"/>
        </w:rPr>
        <w:t xml:space="preserve"> were provided and are also available on the Balancing &amp; Career </w:t>
      </w:r>
      <w:hyperlink r:id="rId8" w:history="1">
        <w:r w:rsidR="00F579E2" w:rsidRPr="00F579E2">
          <w:rPr>
            <w:rStyle w:val="Hyperlink"/>
            <w:rFonts w:eastAsiaTheme="minorHAnsi" w:cstheme="minorBidi"/>
            <w:szCs w:val="21"/>
          </w:rPr>
          <w:t>website</w:t>
        </w:r>
      </w:hyperlink>
      <w:r w:rsidR="00F579E2">
        <w:rPr>
          <w:rFonts w:eastAsiaTheme="minorHAnsi" w:cstheme="minorBidi"/>
          <w:szCs w:val="21"/>
        </w:rPr>
        <w:t xml:space="preserve">. </w:t>
      </w:r>
    </w:p>
    <w:p w14:paraId="51FC8A6D" w14:textId="0F0FFC0B" w:rsidR="004D1AFD" w:rsidRDefault="00F579E2" w:rsidP="004D1AFD">
      <w:pPr>
        <w:pStyle w:val="ListParagraph"/>
        <w:numPr>
          <w:ilvl w:val="0"/>
          <w:numId w:val="15"/>
        </w:numPr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The Stop the Clock benefit was discussed as applica</w:t>
      </w:r>
      <w:r w:rsidR="004B292B">
        <w:rPr>
          <w:rFonts w:eastAsiaTheme="minorHAnsi" w:cstheme="minorBidi"/>
          <w:szCs w:val="21"/>
        </w:rPr>
        <w:t>ble</w:t>
      </w:r>
      <w:r w:rsidR="004D1AFD">
        <w:rPr>
          <w:rFonts w:eastAsiaTheme="minorHAnsi" w:cstheme="minorBidi"/>
          <w:szCs w:val="21"/>
        </w:rPr>
        <w:t xml:space="preserve"> to</w:t>
      </w:r>
      <w:r w:rsidR="004B292B">
        <w:rPr>
          <w:rFonts w:eastAsiaTheme="minorHAnsi" w:cstheme="minorBidi"/>
          <w:szCs w:val="21"/>
        </w:rPr>
        <w:t xml:space="preserve"> the Committee </w:t>
      </w:r>
      <w:r w:rsidR="004D1AFD">
        <w:rPr>
          <w:rFonts w:eastAsiaTheme="minorHAnsi" w:cstheme="minorBidi"/>
          <w:szCs w:val="21"/>
        </w:rPr>
        <w:t xml:space="preserve">members </w:t>
      </w:r>
      <w:r w:rsidR="004D03D6">
        <w:rPr>
          <w:rFonts w:eastAsiaTheme="minorHAnsi" w:cstheme="minorBidi"/>
          <w:szCs w:val="21"/>
        </w:rPr>
        <w:t>at</w:t>
      </w:r>
      <w:r w:rsidR="004B292B">
        <w:rPr>
          <w:rFonts w:eastAsiaTheme="minorHAnsi" w:cstheme="minorBidi"/>
          <w:szCs w:val="21"/>
        </w:rPr>
        <w:t xml:space="preserve"> the Assistant rank. Qualifying events were discussed</w:t>
      </w:r>
      <w:r w:rsidR="003D604A">
        <w:rPr>
          <w:rFonts w:eastAsiaTheme="minorHAnsi" w:cstheme="minorBidi"/>
          <w:szCs w:val="21"/>
        </w:rPr>
        <w:t xml:space="preserve"> as examples</w:t>
      </w:r>
      <w:r w:rsidR="004B292B">
        <w:rPr>
          <w:rFonts w:eastAsiaTheme="minorHAnsi" w:cstheme="minorBidi"/>
          <w:szCs w:val="21"/>
        </w:rPr>
        <w:t xml:space="preserve">, including </w:t>
      </w:r>
      <w:r w:rsidR="007A0E8E">
        <w:rPr>
          <w:rFonts w:eastAsiaTheme="minorHAnsi" w:cstheme="minorBidi"/>
          <w:szCs w:val="21"/>
        </w:rPr>
        <w:t xml:space="preserve">childbearing, or </w:t>
      </w:r>
      <w:r w:rsidR="004B292B">
        <w:rPr>
          <w:rFonts w:eastAsiaTheme="minorHAnsi" w:cstheme="minorBidi"/>
          <w:szCs w:val="21"/>
        </w:rPr>
        <w:t>a leave due to natural disaster, relevant to the North Bay fires.</w:t>
      </w:r>
      <w:r w:rsidR="004D03D6">
        <w:rPr>
          <w:rFonts w:eastAsiaTheme="minorHAnsi" w:cstheme="minorBidi"/>
          <w:szCs w:val="21"/>
        </w:rPr>
        <w:t xml:space="preserve"> </w:t>
      </w:r>
    </w:p>
    <w:p w14:paraId="153216C6" w14:textId="327B2E6F" w:rsidR="004D1AFD" w:rsidRDefault="004D1AFD" w:rsidP="004D1AFD">
      <w:pPr>
        <w:pStyle w:val="ListParagraph"/>
        <w:numPr>
          <w:ilvl w:val="0"/>
          <w:numId w:val="15"/>
        </w:numPr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lastRenderedPageBreak/>
        <w:t xml:space="preserve">Active Service-Modified Duties (ASMD) </w:t>
      </w:r>
      <w:r w:rsidR="006E74B5">
        <w:rPr>
          <w:rFonts w:eastAsiaTheme="minorHAnsi" w:cstheme="minorBidi"/>
          <w:szCs w:val="21"/>
        </w:rPr>
        <w:t xml:space="preserve">is </w:t>
      </w:r>
      <w:r>
        <w:rPr>
          <w:rFonts w:eastAsiaTheme="minorHAnsi" w:cstheme="minorBidi"/>
          <w:szCs w:val="21"/>
        </w:rPr>
        <w:t xml:space="preserve">period of time which normal duties are modified to prepare for and/or care for their newborn child or newly placed child for adoption or foster care. </w:t>
      </w:r>
    </w:p>
    <w:p w14:paraId="2197FF07" w14:textId="040AFBC5" w:rsidR="004D1AFD" w:rsidRDefault="004D1AFD" w:rsidP="00F61371">
      <w:pPr>
        <w:pStyle w:val="ListParagraph"/>
        <w:numPr>
          <w:ilvl w:val="0"/>
          <w:numId w:val="15"/>
        </w:numPr>
        <w:rPr>
          <w:rFonts w:eastAsiaTheme="minorHAnsi" w:cstheme="minorBidi"/>
          <w:szCs w:val="21"/>
        </w:rPr>
      </w:pPr>
      <w:r w:rsidRPr="00976641">
        <w:rPr>
          <w:rFonts w:eastAsiaTheme="minorHAnsi" w:cstheme="minorBidi"/>
          <w:szCs w:val="21"/>
        </w:rPr>
        <w:t>Temporary Reduction in Percentage</w:t>
      </w:r>
      <w:r w:rsidR="00836885">
        <w:rPr>
          <w:rFonts w:eastAsiaTheme="minorHAnsi" w:cstheme="minorBidi"/>
          <w:szCs w:val="21"/>
        </w:rPr>
        <w:t xml:space="preserve"> of Time (TRPT)</w:t>
      </w:r>
      <w:r w:rsidRPr="00976641">
        <w:rPr>
          <w:rFonts w:eastAsiaTheme="minorHAnsi" w:cstheme="minorBidi"/>
          <w:szCs w:val="21"/>
        </w:rPr>
        <w:t xml:space="preserve"> used for Senate faculty due to qualifying circumstances</w:t>
      </w:r>
      <w:r w:rsidR="007A0E8E" w:rsidRPr="00976641">
        <w:rPr>
          <w:rFonts w:eastAsiaTheme="minorHAnsi" w:cstheme="minorBidi"/>
          <w:szCs w:val="21"/>
        </w:rPr>
        <w:t xml:space="preserve">, including </w:t>
      </w:r>
      <w:proofErr w:type="gramStart"/>
      <w:r w:rsidR="007A0E8E" w:rsidRPr="00976641">
        <w:rPr>
          <w:rFonts w:eastAsiaTheme="minorHAnsi" w:cstheme="minorBidi"/>
          <w:szCs w:val="21"/>
        </w:rPr>
        <w:t>child care</w:t>
      </w:r>
      <w:proofErr w:type="gramEnd"/>
      <w:r w:rsidR="007A0E8E" w:rsidRPr="00976641">
        <w:rPr>
          <w:rFonts w:eastAsiaTheme="minorHAnsi" w:cstheme="minorBidi"/>
          <w:szCs w:val="21"/>
        </w:rPr>
        <w:t>, care for a family member (aging parents), etc.</w:t>
      </w:r>
      <w:r w:rsidR="002A064C" w:rsidRPr="00976641">
        <w:rPr>
          <w:rFonts w:eastAsiaTheme="minorHAnsi" w:cstheme="minorBidi"/>
          <w:szCs w:val="21"/>
        </w:rPr>
        <w:t xml:space="preserve"> Factsheet for TRPT will be available soon.</w:t>
      </w:r>
    </w:p>
    <w:p w14:paraId="4B582631" w14:textId="43EFFB14" w:rsidR="00132F63" w:rsidRPr="00671A09" w:rsidRDefault="00132F63" w:rsidP="00671A09">
      <w:pPr>
        <w:spacing w:after="160" w:line="256" w:lineRule="auto"/>
        <w:ind w:left="360"/>
        <w:contextualSpacing/>
        <w:rPr>
          <w:rFonts w:asciiTheme="minorHAnsi" w:hAnsiTheme="minorHAnsi" w:cstheme="minorHAnsi"/>
        </w:rPr>
      </w:pPr>
      <w:r w:rsidRPr="00671A09">
        <w:rPr>
          <w:rFonts w:eastAsiaTheme="minorHAnsi" w:cstheme="minorBidi"/>
          <w:szCs w:val="21"/>
          <w:highlight w:val="yellow"/>
        </w:rPr>
        <w:t>Action</w:t>
      </w:r>
      <w:r w:rsidRPr="00671A09">
        <w:rPr>
          <w:rFonts w:eastAsiaTheme="minorHAnsi" w:cstheme="minorBidi"/>
          <w:szCs w:val="21"/>
          <w:highlight w:val="yellow"/>
          <w:vertAlign w:val="superscript"/>
        </w:rPr>
        <w:t>3</w:t>
      </w:r>
      <w:r w:rsidRPr="00671A09">
        <w:rPr>
          <w:rFonts w:eastAsiaTheme="minorHAnsi" w:cstheme="minorBidi"/>
          <w:szCs w:val="21"/>
        </w:rPr>
        <w:t xml:space="preserve">: Continue to promote </w:t>
      </w:r>
      <w:r w:rsidRPr="00671A09">
        <w:rPr>
          <w:rFonts w:cstheme="minorHAnsi"/>
        </w:rPr>
        <w:t xml:space="preserve">benefits thru Faculty Family-Friendly Initiative (3FI). </w:t>
      </w:r>
      <w:proofErr w:type="spellStart"/>
      <w:r w:rsidR="00E41148">
        <w:rPr>
          <w:rFonts w:eastAsiaTheme="minorHAnsi" w:cstheme="minorBidi"/>
          <w:szCs w:val="21"/>
        </w:rPr>
        <w:t>Mr</w:t>
      </w:r>
      <w:proofErr w:type="spellEnd"/>
      <w:r w:rsidR="00E41148">
        <w:rPr>
          <w:rFonts w:eastAsiaTheme="minorHAnsi" w:cstheme="minorBidi"/>
          <w:szCs w:val="21"/>
        </w:rPr>
        <w:t xml:space="preserve"> Babcock</w:t>
      </w:r>
      <w:r w:rsidR="00E41148" w:rsidRPr="00671A09">
        <w:rPr>
          <w:rFonts w:eastAsiaTheme="minorHAnsi" w:cstheme="minorBidi"/>
          <w:szCs w:val="21"/>
        </w:rPr>
        <w:t xml:space="preserve"> </w:t>
      </w:r>
      <w:r w:rsidRPr="00671A09">
        <w:rPr>
          <w:rFonts w:eastAsiaTheme="minorHAnsi" w:cstheme="minorBidi"/>
          <w:szCs w:val="21"/>
        </w:rPr>
        <w:t>will present to Departments once the TRPT factsheet is available.</w:t>
      </w:r>
    </w:p>
    <w:p w14:paraId="43DB859A" w14:textId="77777777" w:rsidR="006154EB" w:rsidRDefault="006154EB" w:rsidP="0002395E">
      <w:pPr>
        <w:ind w:left="720"/>
      </w:pPr>
    </w:p>
    <w:p w14:paraId="343E79AA" w14:textId="1523321C" w:rsidR="006154EB" w:rsidRDefault="006154EB" w:rsidP="006154EB">
      <w:pPr>
        <w:pStyle w:val="ListParagraph"/>
        <w:numPr>
          <w:ilvl w:val="0"/>
          <w:numId w:val="14"/>
        </w:numPr>
        <w:contextualSpacing/>
        <w:rPr>
          <w:rFonts w:ascii="Tw Cen MT" w:hAnsi="Tw Cen MT"/>
          <w:b/>
          <w:color w:val="215868"/>
        </w:rPr>
      </w:pPr>
      <w:r w:rsidRPr="006154EB">
        <w:rPr>
          <w:rFonts w:ascii="Tw Cen MT" w:hAnsi="Tw Cen MT"/>
          <w:b/>
          <w:color w:val="215868"/>
        </w:rPr>
        <w:t>New/Old Business</w:t>
      </w:r>
    </w:p>
    <w:p w14:paraId="02461D10" w14:textId="66710731" w:rsidR="00976641" w:rsidRDefault="00976641" w:rsidP="00976641">
      <w:pPr>
        <w:pStyle w:val="ListParagraph"/>
        <w:contextualSpacing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The SOP Office of Academic Affairs website will get refreshed with the help of the Communications</w:t>
      </w:r>
      <w:r w:rsidR="006E74B5">
        <w:rPr>
          <w:rFonts w:eastAsiaTheme="minorHAnsi" w:cstheme="minorBidi"/>
          <w:szCs w:val="21"/>
        </w:rPr>
        <w:t xml:space="preserve"> </w:t>
      </w:r>
      <w:r>
        <w:rPr>
          <w:rFonts w:eastAsiaTheme="minorHAnsi" w:cstheme="minorBidi"/>
          <w:szCs w:val="21"/>
        </w:rPr>
        <w:t xml:space="preserve">Team. The Committee will be used as a focus group to ensure that </w:t>
      </w:r>
      <w:r w:rsidR="00132F63">
        <w:rPr>
          <w:rFonts w:eastAsiaTheme="minorHAnsi" w:cstheme="minorBidi"/>
          <w:szCs w:val="21"/>
        </w:rPr>
        <w:t xml:space="preserve">the </w:t>
      </w:r>
      <w:r>
        <w:rPr>
          <w:rFonts w:eastAsiaTheme="minorHAnsi" w:cstheme="minorBidi"/>
          <w:szCs w:val="21"/>
        </w:rPr>
        <w:t xml:space="preserve">site is </w:t>
      </w:r>
      <w:r w:rsidR="006E74B5">
        <w:rPr>
          <w:rFonts w:eastAsiaTheme="minorHAnsi" w:cstheme="minorBidi"/>
          <w:szCs w:val="21"/>
        </w:rPr>
        <w:t xml:space="preserve">content appropriate and </w:t>
      </w:r>
      <w:r>
        <w:rPr>
          <w:rFonts w:eastAsiaTheme="minorHAnsi" w:cstheme="minorBidi"/>
          <w:szCs w:val="21"/>
        </w:rPr>
        <w:t>user-friendly</w:t>
      </w:r>
      <w:r w:rsidR="00E81BEF">
        <w:rPr>
          <w:rFonts w:eastAsiaTheme="minorHAnsi" w:cstheme="minorBidi"/>
          <w:szCs w:val="21"/>
        </w:rPr>
        <w:t>.</w:t>
      </w:r>
    </w:p>
    <w:p w14:paraId="045E37F3" w14:textId="2A3599CD" w:rsidR="00E81BEF" w:rsidRDefault="00E81BEF" w:rsidP="00976641">
      <w:pPr>
        <w:pStyle w:val="ListParagraph"/>
        <w:contextualSpacing/>
        <w:rPr>
          <w:rFonts w:eastAsiaTheme="minorHAnsi" w:cstheme="minorBidi"/>
          <w:szCs w:val="21"/>
        </w:rPr>
      </w:pPr>
    </w:p>
    <w:p w14:paraId="5BCE315E" w14:textId="6D57D1C3" w:rsidR="006154EB" w:rsidRPr="006D4752" w:rsidRDefault="006154EB" w:rsidP="006D4752">
      <w:pPr>
        <w:pStyle w:val="ListParagraph"/>
        <w:numPr>
          <w:ilvl w:val="0"/>
          <w:numId w:val="14"/>
        </w:numPr>
        <w:contextualSpacing/>
        <w:rPr>
          <w:rFonts w:ascii="Tw Cen MT" w:hAnsi="Tw Cen MT"/>
          <w:b/>
          <w:color w:val="215868"/>
        </w:rPr>
      </w:pPr>
      <w:r w:rsidRPr="006D4752">
        <w:rPr>
          <w:rFonts w:ascii="Tw Cen MT" w:hAnsi="Tw Cen MT"/>
          <w:b/>
          <w:color w:val="215868"/>
        </w:rPr>
        <w:t xml:space="preserve">Next Meeting: </w:t>
      </w:r>
      <w:r w:rsidRPr="006D4752">
        <w:rPr>
          <w:rFonts w:eastAsiaTheme="minorHAnsi" w:cstheme="minorBidi"/>
          <w:szCs w:val="21"/>
        </w:rPr>
        <w:t>May</w:t>
      </w:r>
      <w:r w:rsidR="000D4388" w:rsidRPr="006D4752">
        <w:rPr>
          <w:rFonts w:eastAsiaTheme="minorHAnsi" w:cstheme="minorBidi"/>
          <w:szCs w:val="21"/>
        </w:rPr>
        <w:t xml:space="preserve"> 2020</w:t>
      </w:r>
      <w:r w:rsidRPr="006D4752">
        <w:rPr>
          <w:rFonts w:eastAsiaTheme="minorHAnsi" w:cstheme="minorBidi"/>
          <w:szCs w:val="21"/>
        </w:rPr>
        <w:t>, date TBD</w:t>
      </w:r>
    </w:p>
    <w:p w14:paraId="05623966" w14:textId="0E60D9CD" w:rsidR="006D4752" w:rsidRDefault="006D4752" w:rsidP="006D4752">
      <w:pPr>
        <w:contextualSpacing/>
        <w:rPr>
          <w:rFonts w:eastAsiaTheme="minorHAnsi" w:cstheme="minorBidi"/>
          <w:szCs w:val="21"/>
        </w:rPr>
      </w:pPr>
    </w:p>
    <w:p w14:paraId="79B7B174" w14:textId="77777777" w:rsidR="006D4752" w:rsidRDefault="006D4752" w:rsidP="006D4752"/>
    <w:p w14:paraId="171FBB56" w14:textId="77777777" w:rsidR="006D4752" w:rsidRPr="00BA5E7B" w:rsidRDefault="006D4752" w:rsidP="006D4752">
      <w:pPr>
        <w:rPr>
          <w:rFonts w:ascii="Tw Cen MT" w:hAnsi="Tw Cen MT"/>
          <w:b/>
          <w:color w:val="215868"/>
        </w:rPr>
      </w:pPr>
      <w:r w:rsidRPr="00BA5E7B">
        <w:rPr>
          <w:rFonts w:ascii="Tw Cen MT" w:hAnsi="Tw Cen MT"/>
          <w:b/>
          <w:color w:val="215868"/>
        </w:rPr>
        <w:t>ACTION ITEMS:</w:t>
      </w:r>
    </w:p>
    <w:p w14:paraId="0827C6E7" w14:textId="3BBBFC16" w:rsidR="00BA5E7B" w:rsidRPr="006330A1" w:rsidRDefault="001366C2" w:rsidP="006D4752">
      <w:pPr>
        <w:pStyle w:val="ListParagraph"/>
        <w:numPr>
          <w:ilvl w:val="0"/>
          <w:numId w:val="17"/>
        </w:numPr>
      </w:pPr>
      <w:r>
        <w:t xml:space="preserve">The accepted minutes from the 05/05/19 meeting will be posted to the Academic Affairs website. </w:t>
      </w:r>
      <w:proofErr w:type="spellStart"/>
      <w:r w:rsidR="00E41148">
        <w:t>Mrs</w:t>
      </w:r>
      <w:proofErr w:type="spellEnd"/>
      <w:r w:rsidR="00E41148">
        <w:t xml:space="preserve"> </w:t>
      </w:r>
      <w:proofErr w:type="spellStart"/>
      <w:r w:rsidR="00E41148">
        <w:t>Koeplin</w:t>
      </w:r>
      <w:proofErr w:type="spellEnd"/>
      <w:r w:rsidR="00E41148">
        <w:t xml:space="preserve"> </w:t>
      </w:r>
      <w:r>
        <w:t xml:space="preserve">will draft the </w:t>
      </w:r>
      <w:r>
        <w:rPr>
          <w:rFonts w:eastAsiaTheme="minorHAnsi" w:cstheme="minorBidi"/>
          <w:szCs w:val="21"/>
        </w:rPr>
        <w:t>annual summary report of activities to the Dean</w:t>
      </w:r>
      <w:r w:rsidR="00BA5E7B">
        <w:rPr>
          <w:rFonts w:eastAsiaTheme="minorHAnsi" w:cstheme="minorBidi"/>
          <w:szCs w:val="21"/>
        </w:rPr>
        <w:t>.</w:t>
      </w:r>
    </w:p>
    <w:p w14:paraId="5B9F6A52" w14:textId="77777777" w:rsidR="000D494C" w:rsidRDefault="000D494C" w:rsidP="000D494C"/>
    <w:p w14:paraId="4307409E" w14:textId="695FAB2C" w:rsidR="006330A1" w:rsidRPr="00671A09" w:rsidRDefault="000D494C" w:rsidP="000D494C">
      <w:pPr>
        <w:pStyle w:val="ListParagraph"/>
        <w:numPr>
          <w:ilvl w:val="0"/>
          <w:numId w:val="17"/>
        </w:numPr>
        <w:rPr>
          <w:rFonts w:eastAsiaTheme="minorHAnsi" w:cstheme="minorBidi"/>
          <w:szCs w:val="21"/>
        </w:rPr>
      </w:pPr>
      <w:r>
        <w:t>The recommended clarifications towards periods of time found in the Comp Plan will be presented to Dean Guglielmo, requesting approval in time for July 1, 2020 implementation.</w:t>
      </w:r>
    </w:p>
    <w:p w14:paraId="1636ACB3" w14:textId="44BA9EE4" w:rsidR="00671A09" w:rsidRPr="00671A09" w:rsidRDefault="00671A09" w:rsidP="00671A09">
      <w:pPr>
        <w:rPr>
          <w:rFonts w:eastAsiaTheme="minorHAnsi" w:cstheme="minorBidi"/>
          <w:szCs w:val="21"/>
        </w:rPr>
      </w:pPr>
    </w:p>
    <w:p w14:paraId="47A5B62F" w14:textId="1DADC18A" w:rsidR="00BA5E7B" w:rsidRPr="00BA5E7B" w:rsidRDefault="00BA5E7B" w:rsidP="00B0712D">
      <w:pPr>
        <w:pStyle w:val="ListParagraph"/>
        <w:numPr>
          <w:ilvl w:val="0"/>
          <w:numId w:val="17"/>
        </w:numPr>
      </w:pPr>
      <w:r w:rsidRPr="006330A1">
        <w:rPr>
          <w:rFonts w:eastAsiaTheme="minorHAnsi" w:cstheme="minorBidi"/>
          <w:szCs w:val="21"/>
        </w:rPr>
        <w:t xml:space="preserve">Continue to promote </w:t>
      </w:r>
      <w:r w:rsidRPr="006330A1">
        <w:rPr>
          <w:rFonts w:cstheme="minorHAnsi"/>
        </w:rPr>
        <w:t xml:space="preserve">benefits thru Faculty Family-Friendly Initiative (3FI). </w:t>
      </w:r>
      <w:proofErr w:type="spellStart"/>
      <w:r w:rsidR="00E41148">
        <w:rPr>
          <w:rFonts w:eastAsiaTheme="minorHAnsi" w:cstheme="minorBidi"/>
          <w:szCs w:val="21"/>
        </w:rPr>
        <w:t>Mr</w:t>
      </w:r>
      <w:proofErr w:type="spellEnd"/>
      <w:r w:rsidR="00E41148">
        <w:rPr>
          <w:rFonts w:eastAsiaTheme="minorHAnsi" w:cstheme="minorBidi"/>
          <w:szCs w:val="21"/>
        </w:rPr>
        <w:t xml:space="preserve"> Babcock</w:t>
      </w:r>
      <w:r w:rsidR="00E41148" w:rsidRPr="006330A1">
        <w:rPr>
          <w:rFonts w:eastAsiaTheme="minorHAnsi" w:cstheme="minorBidi"/>
          <w:szCs w:val="21"/>
        </w:rPr>
        <w:t xml:space="preserve"> </w:t>
      </w:r>
      <w:r w:rsidRPr="006330A1">
        <w:rPr>
          <w:rFonts w:eastAsiaTheme="minorHAnsi" w:cstheme="minorBidi"/>
          <w:szCs w:val="21"/>
        </w:rPr>
        <w:t>will present to Departments once the TRPT factsheet is available.</w:t>
      </w:r>
    </w:p>
    <w:p w14:paraId="3CC326F4" w14:textId="565B86CE" w:rsidR="006D4752" w:rsidRPr="006D4752" w:rsidRDefault="006D4752" w:rsidP="006D4752">
      <w:pPr>
        <w:contextualSpacing/>
        <w:rPr>
          <w:rFonts w:eastAsiaTheme="minorHAnsi" w:cstheme="minorBidi"/>
          <w:szCs w:val="21"/>
        </w:rPr>
      </w:pPr>
    </w:p>
    <w:sectPr w:rsidR="006D4752" w:rsidRPr="006D4752" w:rsidSect="00752A7A">
      <w:footerReference w:type="default" r:id="rId9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345D" w14:textId="77777777" w:rsidR="00E30C86" w:rsidRDefault="00E30C86" w:rsidP="000D6984">
      <w:r>
        <w:separator/>
      </w:r>
    </w:p>
  </w:endnote>
  <w:endnote w:type="continuationSeparator" w:id="0">
    <w:p w14:paraId="4A44FD0A" w14:textId="77777777" w:rsidR="00E30C86" w:rsidRDefault="00E30C86" w:rsidP="000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60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3DF45" w14:textId="2F078E7F" w:rsidR="000D6984" w:rsidRDefault="000D69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8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092B4A" w14:textId="77777777" w:rsidR="000D6984" w:rsidRDefault="000D6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FCEAD" w14:textId="77777777" w:rsidR="00E30C86" w:rsidRDefault="00E30C86" w:rsidP="000D6984">
      <w:r>
        <w:separator/>
      </w:r>
    </w:p>
  </w:footnote>
  <w:footnote w:type="continuationSeparator" w:id="0">
    <w:p w14:paraId="7937C086" w14:textId="77777777" w:rsidR="00E30C86" w:rsidRDefault="00E30C86" w:rsidP="000D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1CE"/>
    <w:multiLevelType w:val="hybridMultilevel"/>
    <w:tmpl w:val="7A2C55B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1985B51"/>
    <w:multiLevelType w:val="hybridMultilevel"/>
    <w:tmpl w:val="09488732"/>
    <w:lvl w:ilvl="0" w:tplc="18E8C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61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8C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2D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B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C0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C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E9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02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32736E"/>
    <w:multiLevelType w:val="singleLevel"/>
    <w:tmpl w:val="8B3C09EC"/>
    <w:lvl w:ilvl="0">
      <w:start w:val="1"/>
      <w:numFmt w:val="bullet"/>
      <w:pStyle w:val="Footnot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62001"/>
    <w:multiLevelType w:val="hybridMultilevel"/>
    <w:tmpl w:val="7FB81608"/>
    <w:lvl w:ilvl="0" w:tplc="B7AE0664">
      <w:start w:val="1"/>
      <w:numFmt w:val="decimal"/>
      <w:lvlText w:val="%1."/>
      <w:lvlJc w:val="left"/>
      <w:pPr>
        <w:ind w:left="870" w:hanging="510"/>
      </w:pPr>
      <w:rPr>
        <w:b/>
        <w:color w:val="002060"/>
      </w:rPr>
    </w:lvl>
    <w:lvl w:ilvl="1" w:tplc="261EA626">
      <w:start w:val="1"/>
      <w:numFmt w:val="lowerLetter"/>
      <w:lvlText w:val="%2."/>
      <w:lvlJc w:val="left"/>
      <w:pPr>
        <w:ind w:left="1530" w:hanging="450"/>
      </w:pPr>
      <w:rPr>
        <w:b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EC0738">
      <w:start w:val="1"/>
      <w:numFmt w:val="decimal"/>
      <w:lvlText w:val="%4."/>
      <w:lvlJc w:val="left"/>
      <w:pPr>
        <w:ind w:left="2880" w:hanging="360"/>
      </w:pPr>
      <w:rPr>
        <w:b/>
        <w:color w:val="00206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6A2D"/>
    <w:multiLevelType w:val="hybridMultilevel"/>
    <w:tmpl w:val="008E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76E6A"/>
    <w:multiLevelType w:val="hybridMultilevel"/>
    <w:tmpl w:val="486E197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06D"/>
    <w:multiLevelType w:val="hybridMultilevel"/>
    <w:tmpl w:val="3422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02389"/>
    <w:multiLevelType w:val="hybridMultilevel"/>
    <w:tmpl w:val="EE24A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66B91"/>
    <w:multiLevelType w:val="hybridMultilevel"/>
    <w:tmpl w:val="E4A42D58"/>
    <w:lvl w:ilvl="0" w:tplc="D3284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64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42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61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C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4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E0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E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27140C"/>
    <w:multiLevelType w:val="hybridMultilevel"/>
    <w:tmpl w:val="68D0581A"/>
    <w:lvl w:ilvl="0" w:tplc="441402AE">
      <w:start w:val="1"/>
      <w:numFmt w:val="decimal"/>
      <w:lvlText w:val="%1."/>
      <w:lvlJc w:val="left"/>
      <w:pPr>
        <w:ind w:left="744" w:hanging="384"/>
      </w:pPr>
      <w:rPr>
        <w:rFonts w:ascii="Tw Cen MT" w:hAnsi="Tw Cen MT" w:hint="default"/>
        <w:b/>
        <w:color w:val="21586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17D7"/>
    <w:multiLevelType w:val="hybridMultilevel"/>
    <w:tmpl w:val="A6F2F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A95A96"/>
    <w:multiLevelType w:val="hybridMultilevel"/>
    <w:tmpl w:val="F6002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64A0B"/>
    <w:multiLevelType w:val="hybridMultilevel"/>
    <w:tmpl w:val="83A84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CA787B"/>
    <w:multiLevelType w:val="hybridMultilevel"/>
    <w:tmpl w:val="B76E7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B7CAE"/>
    <w:multiLevelType w:val="hybridMultilevel"/>
    <w:tmpl w:val="44E44458"/>
    <w:lvl w:ilvl="0" w:tplc="2280EE94">
      <w:start w:val="1"/>
      <w:numFmt w:val="lowerLetter"/>
      <w:lvlText w:val="%1."/>
      <w:lvlJc w:val="left"/>
      <w:pPr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AE2CE1"/>
    <w:multiLevelType w:val="hybridMultilevel"/>
    <w:tmpl w:val="F34C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35DB5"/>
    <w:multiLevelType w:val="hybridMultilevel"/>
    <w:tmpl w:val="40683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NjU1sDSwMDK0MDBT0lEKTi0uzszPAykwrgUAszxW8SwAAAA="/>
  </w:docVars>
  <w:rsids>
    <w:rsidRoot w:val="0002384D"/>
    <w:rsid w:val="0000787D"/>
    <w:rsid w:val="00015F47"/>
    <w:rsid w:val="0001748D"/>
    <w:rsid w:val="0002384D"/>
    <w:rsid w:val="0002395E"/>
    <w:rsid w:val="00033C93"/>
    <w:rsid w:val="00045618"/>
    <w:rsid w:val="0005181F"/>
    <w:rsid w:val="000541A0"/>
    <w:rsid w:val="000626C9"/>
    <w:rsid w:val="0006692E"/>
    <w:rsid w:val="0006782F"/>
    <w:rsid w:val="00070E9E"/>
    <w:rsid w:val="00080EA4"/>
    <w:rsid w:val="000824D3"/>
    <w:rsid w:val="000A171C"/>
    <w:rsid w:val="000A5419"/>
    <w:rsid w:val="000B3028"/>
    <w:rsid w:val="000B664E"/>
    <w:rsid w:val="000C191F"/>
    <w:rsid w:val="000C21E3"/>
    <w:rsid w:val="000D4388"/>
    <w:rsid w:val="000D494C"/>
    <w:rsid w:val="000D6984"/>
    <w:rsid w:val="000E1381"/>
    <w:rsid w:val="000E4A83"/>
    <w:rsid w:val="000E4E88"/>
    <w:rsid w:val="00104D08"/>
    <w:rsid w:val="001303CC"/>
    <w:rsid w:val="00132F63"/>
    <w:rsid w:val="001366C2"/>
    <w:rsid w:val="00145534"/>
    <w:rsid w:val="00147A55"/>
    <w:rsid w:val="00150586"/>
    <w:rsid w:val="001624FC"/>
    <w:rsid w:val="0016379B"/>
    <w:rsid w:val="00167A82"/>
    <w:rsid w:val="001766EA"/>
    <w:rsid w:val="00177FD5"/>
    <w:rsid w:val="00180E8F"/>
    <w:rsid w:val="001A2C22"/>
    <w:rsid w:val="001B4B83"/>
    <w:rsid w:val="001D0072"/>
    <w:rsid w:val="001D016E"/>
    <w:rsid w:val="001D10F7"/>
    <w:rsid w:val="001D1D27"/>
    <w:rsid w:val="001D5A86"/>
    <w:rsid w:val="001E21BC"/>
    <w:rsid w:val="001E5C30"/>
    <w:rsid w:val="001E7179"/>
    <w:rsid w:val="00205FA9"/>
    <w:rsid w:val="002069D7"/>
    <w:rsid w:val="00210C4E"/>
    <w:rsid w:val="002126B0"/>
    <w:rsid w:val="00226E92"/>
    <w:rsid w:val="002518CA"/>
    <w:rsid w:val="0026029D"/>
    <w:rsid w:val="00274B27"/>
    <w:rsid w:val="0028496C"/>
    <w:rsid w:val="00285F5E"/>
    <w:rsid w:val="00294E98"/>
    <w:rsid w:val="002A064C"/>
    <w:rsid w:val="002A2088"/>
    <w:rsid w:val="002A63D3"/>
    <w:rsid w:val="002B4275"/>
    <w:rsid w:val="002D0963"/>
    <w:rsid w:val="002E014D"/>
    <w:rsid w:val="002E6689"/>
    <w:rsid w:val="002F3F09"/>
    <w:rsid w:val="0033215D"/>
    <w:rsid w:val="00345884"/>
    <w:rsid w:val="0034734A"/>
    <w:rsid w:val="003478FF"/>
    <w:rsid w:val="00351F10"/>
    <w:rsid w:val="0035447F"/>
    <w:rsid w:val="0035464C"/>
    <w:rsid w:val="00360387"/>
    <w:rsid w:val="00360463"/>
    <w:rsid w:val="0036100A"/>
    <w:rsid w:val="00367FBA"/>
    <w:rsid w:val="00370013"/>
    <w:rsid w:val="0038796C"/>
    <w:rsid w:val="00392097"/>
    <w:rsid w:val="003960A7"/>
    <w:rsid w:val="003A2882"/>
    <w:rsid w:val="003A7FA8"/>
    <w:rsid w:val="003B2EAD"/>
    <w:rsid w:val="003C13ED"/>
    <w:rsid w:val="003C1969"/>
    <w:rsid w:val="003C59E4"/>
    <w:rsid w:val="003D2CCB"/>
    <w:rsid w:val="003D604A"/>
    <w:rsid w:val="003E0EAE"/>
    <w:rsid w:val="003E275F"/>
    <w:rsid w:val="003E6D28"/>
    <w:rsid w:val="003E6E1B"/>
    <w:rsid w:val="003F287E"/>
    <w:rsid w:val="003F7F42"/>
    <w:rsid w:val="00404B8E"/>
    <w:rsid w:val="004252FB"/>
    <w:rsid w:val="004261C5"/>
    <w:rsid w:val="00436514"/>
    <w:rsid w:val="0044111F"/>
    <w:rsid w:val="00441B1D"/>
    <w:rsid w:val="00445F9C"/>
    <w:rsid w:val="004477CD"/>
    <w:rsid w:val="004521CE"/>
    <w:rsid w:val="004712EB"/>
    <w:rsid w:val="00481CC0"/>
    <w:rsid w:val="00487B91"/>
    <w:rsid w:val="0049472D"/>
    <w:rsid w:val="004B0A35"/>
    <w:rsid w:val="004B292B"/>
    <w:rsid w:val="004B5059"/>
    <w:rsid w:val="004B51DF"/>
    <w:rsid w:val="004B5A66"/>
    <w:rsid w:val="004C5428"/>
    <w:rsid w:val="004C624F"/>
    <w:rsid w:val="004D03D6"/>
    <w:rsid w:val="004D1AFD"/>
    <w:rsid w:val="004E210E"/>
    <w:rsid w:val="004F1969"/>
    <w:rsid w:val="00512F44"/>
    <w:rsid w:val="00513131"/>
    <w:rsid w:val="00532161"/>
    <w:rsid w:val="0054046B"/>
    <w:rsid w:val="0054494B"/>
    <w:rsid w:val="00544EB2"/>
    <w:rsid w:val="00547D09"/>
    <w:rsid w:val="00554714"/>
    <w:rsid w:val="0055497B"/>
    <w:rsid w:val="00561B33"/>
    <w:rsid w:val="0056207D"/>
    <w:rsid w:val="00565E30"/>
    <w:rsid w:val="00577904"/>
    <w:rsid w:val="00593CDD"/>
    <w:rsid w:val="005944D9"/>
    <w:rsid w:val="005B181E"/>
    <w:rsid w:val="005B4AFE"/>
    <w:rsid w:val="005C1E78"/>
    <w:rsid w:val="005C507C"/>
    <w:rsid w:val="005E69CE"/>
    <w:rsid w:val="005F41AF"/>
    <w:rsid w:val="005F5D4E"/>
    <w:rsid w:val="005F78D2"/>
    <w:rsid w:val="006154EB"/>
    <w:rsid w:val="00622E0E"/>
    <w:rsid w:val="00622F93"/>
    <w:rsid w:val="00623882"/>
    <w:rsid w:val="0062786D"/>
    <w:rsid w:val="006301A9"/>
    <w:rsid w:val="006330A1"/>
    <w:rsid w:val="006343CB"/>
    <w:rsid w:val="00637563"/>
    <w:rsid w:val="00650A2D"/>
    <w:rsid w:val="00652911"/>
    <w:rsid w:val="00667072"/>
    <w:rsid w:val="00671A09"/>
    <w:rsid w:val="0067302A"/>
    <w:rsid w:val="00675451"/>
    <w:rsid w:val="00680EA6"/>
    <w:rsid w:val="00683786"/>
    <w:rsid w:val="00693EA4"/>
    <w:rsid w:val="0069423F"/>
    <w:rsid w:val="006A4C27"/>
    <w:rsid w:val="006B129C"/>
    <w:rsid w:val="006B425B"/>
    <w:rsid w:val="006C1282"/>
    <w:rsid w:val="006C2126"/>
    <w:rsid w:val="006C69BD"/>
    <w:rsid w:val="006C7B03"/>
    <w:rsid w:val="006D4752"/>
    <w:rsid w:val="006E440E"/>
    <w:rsid w:val="006E74B5"/>
    <w:rsid w:val="006F244C"/>
    <w:rsid w:val="006F29A5"/>
    <w:rsid w:val="00710D14"/>
    <w:rsid w:val="00720137"/>
    <w:rsid w:val="00726ABE"/>
    <w:rsid w:val="007320E1"/>
    <w:rsid w:val="00746A2E"/>
    <w:rsid w:val="00752A7A"/>
    <w:rsid w:val="007563F7"/>
    <w:rsid w:val="00761CAF"/>
    <w:rsid w:val="0079265D"/>
    <w:rsid w:val="007969B9"/>
    <w:rsid w:val="007A0E8E"/>
    <w:rsid w:val="007B5401"/>
    <w:rsid w:val="007C724E"/>
    <w:rsid w:val="007D2FA4"/>
    <w:rsid w:val="007D3029"/>
    <w:rsid w:val="007E1C53"/>
    <w:rsid w:val="007F1969"/>
    <w:rsid w:val="008078F6"/>
    <w:rsid w:val="00815DB3"/>
    <w:rsid w:val="00823194"/>
    <w:rsid w:val="008365C9"/>
    <w:rsid w:val="00836885"/>
    <w:rsid w:val="00845B48"/>
    <w:rsid w:val="00852EE5"/>
    <w:rsid w:val="0085419E"/>
    <w:rsid w:val="008571B0"/>
    <w:rsid w:val="0086632C"/>
    <w:rsid w:val="008706C9"/>
    <w:rsid w:val="00892387"/>
    <w:rsid w:val="008A1608"/>
    <w:rsid w:val="008B1ED3"/>
    <w:rsid w:val="008C2730"/>
    <w:rsid w:val="008C677C"/>
    <w:rsid w:val="008E117A"/>
    <w:rsid w:val="00910C0E"/>
    <w:rsid w:val="00926876"/>
    <w:rsid w:val="009529F4"/>
    <w:rsid w:val="009531C2"/>
    <w:rsid w:val="00954D27"/>
    <w:rsid w:val="009639E7"/>
    <w:rsid w:val="009648F8"/>
    <w:rsid w:val="00965EDE"/>
    <w:rsid w:val="00974B83"/>
    <w:rsid w:val="0097582C"/>
    <w:rsid w:val="00976641"/>
    <w:rsid w:val="00982994"/>
    <w:rsid w:val="00986F5A"/>
    <w:rsid w:val="009A2CC6"/>
    <w:rsid w:val="009D61F1"/>
    <w:rsid w:val="009E2F8E"/>
    <w:rsid w:val="009E3F80"/>
    <w:rsid w:val="009E496C"/>
    <w:rsid w:val="009E51A2"/>
    <w:rsid w:val="009E7CFB"/>
    <w:rsid w:val="009F1EFE"/>
    <w:rsid w:val="00A00394"/>
    <w:rsid w:val="00A067D5"/>
    <w:rsid w:val="00A15E38"/>
    <w:rsid w:val="00A2020F"/>
    <w:rsid w:val="00A5722A"/>
    <w:rsid w:val="00A63601"/>
    <w:rsid w:val="00A66904"/>
    <w:rsid w:val="00A70A1D"/>
    <w:rsid w:val="00A71E68"/>
    <w:rsid w:val="00A83114"/>
    <w:rsid w:val="00A911FE"/>
    <w:rsid w:val="00A91D7F"/>
    <w:rsid w:val="00A9234F"/>
    <w:rsid w:val="00AA2E83"/>
    <w:rsid w:val="00AA3098"/>
    <w:rsid w:val="00AA66CB"/>
    <w:rsid w:val="00AB40CD"/>
    <w:rsid w:val="00AC2A27"/>
    <w:rsid w:val="00AC3686"/>
    <w:rsid w:val="00AE1DAD"/>
    <w:rsid w:val="00AE507B"/>
    <w:rsid w:val="00AF3DE0"/>
    <w:rsid w:val="00B13A24"/>
    <w:rsid w:val="00B26329"/>
    <w:rsid w:val="00B307A2"/>
    <w:rsid w:val="00B30FEB"/>
    <w:rsid w:val="00B32F0B"/>
    <w:rsid w:val="00B36F30"/>
    <w:rsid w:val="00B54BC4"/>
    <w:rsid w:val="00B56609"/>
    <w:rsid w:val="00B71B67"/>
    <w:rsid w:val="00B86EBE"/>
    <w:rsid w:val="00BA5E7B"/>
    <w:rsid w:val="00BC5E58"/>
    <w:rsid w:val="00BD7ED0"/>
    <w:rsid w:val="00BE068C"/>
    <w:rsid w:val="00BE37AE"/>
    <w:rsid w:val="00BE748F"/>
    <w:rsid w:val="00BF186B"/>
    <w:rsid w:val="00C33C83"/>
    <w:rsid w:val="00C37F3C"/>
    <w:rsid w:val="00C471B5"/>
    <w:rsid w:val="00C510E5"/>
    <w:rsid w:val="00C52732"/>
    <w:rsid w:val="00C57261"/>
    <w:rsid w:val="00C57CE5"/>
    <w:rsid w:val="00C66102"/>
    <w:rsid w:val="00C82DDB"/>
    <w:rsid w:val="00C82FA2"/>
    <w:rsid w:val="00C91451"/>
    <w:rsid w:val="00CB01EC"/>
    <w:rsid w:val="00CB686A"/>
    <w:rsid w:val="00CB7C6B"/>
    <w:rsid w:val="00CC14D7"/>
    <w:rsid w:val="00CC3C36"/>
    <w:rsid w:val="00CC585F"/>
    <w:rsid w:val="00CD2D38"/>
    <w:rsid w:val="00CD349D"/>
    <w:rsid w:val="00CD4234"/>
    <w:rsid w:val="00CE679A"/>
    <w:rsid w:val="00CF0617"/>
    <w:rsid w:val="00D00407"/>
    <w:rsid w:val="00D03735"/>
    <w:rsid w:val="00D053BE"/>
    <w:rsid w:val="00D07656"/>
    <w:rsid w:val="00D11CC9"/>
    <w:rsid w:val="00D37E49"/>
    <w:rsid w:val="00D54ACF"/>
    <w:rsid w:val="00D60849"/>
    <w:rsid w:val="00D65684"/>
    <w:rsid w:val="00D776A4"/>
    <w:rsid w:val="00D94536"/>
    <w:rsid w:val="00DA35EF"/>
    <w:rsid w:val="00DB68A5"/>
    <w:rsid w:val="00DC23A0"/>
    <w:rsid w:val="00DD0B4A"/>
    <w:rsid w:val="00DE30C0"/>
    <w:rsid w:val="00DE41BF"/>
    <w:rsid w:val="00DF3ECA"/>
    <w:rsid w:val="00E0072A"/>
    <w:rsid w:val="00E1027E"/>
    <w:rsid w:val="00E30C86"/>
    <w:rsid w:val="00E37287"/>
    <w:rsid w:val="00E41148"/>
    <w:rsid w:val="00E4696B"/>
    <w:rsid w:val="00E503DB"/>
    <w:rsid w:val="00E51376"/>
    <w:rsid w:val="00E542BD"/>
    <w:rsid w:val="00E8175F"/>
    <w:rsid w:val="00E81BEF"/>
    <w:rsid w:val="00E86265"/>
    <w:rsid w:val="00EC20CB"/>
    <w:rsid w:val="00ED360B"/>
    <w:rsid w:val="00ED7B66"/>
    <w:rsid w:val="00EE607A"/>
    <w:rsid w:val="00EF0277"/>
    <w:rsid w:val="00EF38E9"/>
    <w:rsid w:val="00F109FC"/>
    <w:rsid w:val="00F1381B"/>
    <w:rsid w:val="00F305EC"/>
    <w:rsid w:val="00F339D6"/>
    <w:rsid w:val="00F43277"/>
    <w:rsid w:val="00F45CB0"/>
    <w:rsid w:val="00F54A47"/>
    <w:rsid w:val="00F576C0"/>
    <w:rsid w:val="00F579E2"/>
    <w:rsid w:val="00F676FD"/>
    <w:rsid w:val="00F776D5"/>
    <w:rsid w:val="00F80E08"/>
    <w:rsid w:val="00F817A4"/>
    <w:rsid w:val="00F87AFB"/>
    <w:rsid w:val="00F96227"/>
    <w:rsid w:val="00F97F8E"/>
    <w:rsid w:val="00FB030F"/>
    <w:rsid w:val="00FB68C3"/>
    <w:rsid w:val="00FC0F79"/>
    <w:rsid w:val="00FC326A"/>
    <w:rsid w:val="00FD088C"/>
    <w:rsid w:val="00FD3A2A"/>
    <w:rsid w:val="00FE04C1"/>
    <w:rsid w:val="00FE0E1A"/>
    <w:rsid w:val="00FE4F23"/>
    <w:rsid w:val="00FF0107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47AC"/>
  <w15:docId w15:val="{38D69753-BCC2-4959-80D0-D4AD7CD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4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4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2384D"/>
    <w:rPr>
      <w:rFonts w:ascii="Times New Roman" w:eastAsiaTheme="minorHAnsi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02384D"/>
    <w:rPr>
      <w:rFonts w:ascii="Times New Roman" w:eastAsiaTheme="minorHAnsi" w:hAnsi="Times New Roman"/>
      <w:sz w:val="24"/>
      <w:szCs w:val="24"/>
    </w:rPr>
  </w:style>
  <w:style w:type="paragraph" w:customStyle="1" w:styleId="xmsoplaintext">
    <w:name w:val="x_msoplaintext"/>
    <w:basedOn w:val="Normal"/>
    <w:uiPriority w:val="99"/>
    <w:semiHidden/>
    <w:rsid w:val="0002384D"/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B425B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25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D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8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8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0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4C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4C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20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F776D5"/>
    <w:pPr>
      <w:numPr>
        <w:numId w:val="6"/>
      </w:numPr>
      <w:tabs>
        <w:tab w:val="clear" w:pos="360"/>
      </w:tabs>
      <w:ind w:left="0" w:firstLine="0"/>
    </w:pPr>
    <w:rPr>
      <w:rFonts w:ascii="Book Antiqua" w:hAnsi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76D5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927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000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731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498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117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32">
          <w:marLeft w:val="25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affairs.ucsf.edu/ccfl/careerandfamil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sf.app.box.com/file/4496465876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1281</Words>
  <Characters>6738</Characters>
  <Application>Microsoft Office Word</Application>
  <DocSecurity>0</DocSecurity>
  <Lines>122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UCSF</Company>
  <LinksUpToDate>false</LinksUpToDate>
  <CharactersWithSpaces>8024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Plan Advisory Committee (CPAC) Meeting Minutes for November 19, 2019</dc:title>
  <dc:subject/>
  <dc:creator>School of Pharmacy</dc:creator>
  <cp:keywords/>
  <dc:description/>
  <cp:lastModifiedBy>Farm, Frank</cp:lastModifiedBy>
  <cp:revision>4</cp:revision>
  <dcterms:created xsi:type="dcterms:W3CDTF">2020-05-12T23:24:00Z</dcterms:created>
  <dcterms:modified xsi:type="dcterms:W3CDTF">2020-06-01T17:15:00Z</dcterms:modified>
  <cp:category/>
</cp:coreProperties>
</file>