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22D2" w14:textId="77777777" w:rsidR="0002384D" w:rsidRDefault="00A00394" w:rsidP="0002384D">
      <w:pPr>
        <w:rPr>
          <w:rFonts w:ascii="Tw Cen MT" w:hAnsi="Tw Cen MT"/>
          <w:b/>
          <w:bCs/>
          <w:color w:val="215868"/>
        </w:rPr>
      </w:pPr>
      <w:bookmarkStart w:id="0" w:name="_GoBack"/>
      <w:bookmarkEnd w:id="0"/>
      <w:r w:rsidRPr="00A00394">
        <w:rPr>
          <w:rFonts w:ascii="Tw Cen MT" w:hAnsi="Tw Cen MT"/>
          <w:b/>
          <w:bCs/>
          <w:color w:val="215868"/>
          <w:sz w:val="24"/>
          <w:szCs w:val="24"/>
        </w:rPr>
        <w:t xml:space="preserve">School of Pharmacy </w:t>
      </w:r>
      <w:r w:rsidR="0002384D" w:rsidRPr="00A00394">
        <w:rPr>
          <w:rFonts w:ascii="Tw Cen MT" w:hAnsi="Tw Cen MT"/>
          <w:b/>
          <w:bCs/>
          <w:color w:val="215868"/>
          <w:sz w:val="24"/>
          <w:szCs w:val="24"/>
        </w:rPr>
        <w:t>Comp</w:t>
      </w:r>
      <w:r w:rsidRPr="00A00394">
        <w:rPr>
          <w:rFonts w:ascii="Tw Cen MT" w:hAnsi="Tw Cen MT"/>
          <w:b/>
          <w:bCs/>
          <w:color w:val="215868"/>
          <w:sz w:val="24"/>
          <w:szCs w:val="24"/>
        </w:rPr>
        <w:t>ensation</w:t>
      </w:r>
      <w:r w:rsidR="0002384D" w:rsidRPr="00A00394">
        <w:rPr>
          <w:rFonts w:ascii="Tw Cen MT" w:hAnsi="Tw Cen MT"/>
          <w:b/>
          <w:bCs/>
          <w:color w:val="215868"/>
          <w:sz w:val="24"/>
          <w:szCs w:val="24"/>
        </w:rPr>
        <w:t xml:space="preserve"> Plan Advisory Committee</w:t>
      </w:r>
      <w:r w:rsidR="000E4E88">
        <w:rPr>
          <w:rFonts w:ascii="Tw Cen MT" w:hAnsi="Tw Cen MT"/>
          <w:b/>
          <w:bCs/>
          <w:color w:val="215868"/>
          <w:sz w:val="24"/>
          <w:szCs w:val="24"/>
        </w:rPr>
        <w:t xml:space="preserve"> (CPAC)</w:t>
      </w:r>
      <w:r w:rsidR="0002384D" w:rsidRPr="00A00394">
        <w:rPr>
          <w:rFonts w:ascii="Tw Cen MT" w:hAnsi="Tw Cen MT"/>
          <w:b/>
          <w:bCs/>
          <w:color w:val="215868"/>
          <w:sz w:val="24"/>
          <w:szCs w:val="24"/>
        </w:rPr>
        <w:t xml:space="preserve"> Meeti</w:t>
      </w:r>
      <w:r w:rsidR="0002384D">
        <w:rPr>
          <w:rFonts w:ascii="Tw Cen MT" w:hAnsi="Tw Cen MT"/>
          <w:b/>
          <w:bCs/>
          <w:color w:val="215868"/>
        </w:rPr>
        <w:t>ng</w:t>
      </w:r>
      <w:r w:rsidR="001D016E">
        <w:rPr>
          <w:rFonts w:ascii="Tw Cen MT" w:hAnsi="Tw Cen MT"/>
          <w:b/>
          <w:bCs/>
          <w:color w:val="215868"/>
        </w:rPr>
        <w:t xml:space="preserve"> Minutes</w:t>
      </w:r>
    </w:p>
    <w:p w14:paraId="223DC994" w14:textId="77777777" w:rsidR="00A00394" w:rsidRDefault="000C191F" w:rsidP="0002384D">
      <w:pPr>
        <w:rPr>
          <w:rFonts w:ascii="Tw Cen MT" w:hAnsi="Tw Cen MT"/>
          <w:b/>
          <w:bCs/>
          <w:color w:val="215868"/>
        </w:rPr>
      </w:pPr>
      <w:r>
        <w:rPr>
          <w:rFonts w:ascii="Tw Cen MT" w:hAnsi="Tw Cen MT"/>
          <w:b/>
          <w:bCs/>
          <w:color w:val="215868"/>
        </w:rPr>
        <w:t>Thurs</w:t>
      </w:r>
      <w:r w:rsidR="00445F9C">
        <w:rPr>
          <w:rFonts w:ascii="Tw Cen MT" w:hAnsi="Tw Cen MT"/>
          <w:b/>
          <w:bCs/>
          <w:color w:val="215868"/>
        </w:rPr>
        <w:t>day</w:t>
      </w:r>
      <w:r w:rsidR="006A4C27">
        <w:rPr>
          <w:rFonts w:ascii="Tw Cen MT" w:hAnsi="Tw Cen MT"/>
          <w:b/>
          <w:bCs/>
          <w:color w:val="215868"/>
        </w:rPr>
        <w:t xml:space="preserve">, </w:t>
      </w:r>
      <w:r>
        <w:rPr>
          <w:rFonts w:ascii="Tw Cen MT" w:hAnsi="Tw Cen MT"/>
          <w:b/>
          <w:bCs/>
          <w:color w:val="215868"/>
        </w:rPr>
        <w:t>May 9, 2019</w:t>
      </w:r>
    </w:p>
    <w:p w14:paraId="376AECD6" w14:textId="77777777" w:rsidR="00A00394" w:rsidRDefault="00A00394" w:rsidP="0002384D">
      <w:pPr>
        <w:rPr>
          <w:rFonts w:ascii="Tw Cen MT" w:hAnsi="Tw Cen MT"/>
          <w:b/>
          <w:bCs/>
          <w:color w:val="215868"/>
        </w:rPr>
      </w:pPr>
      <w:r>
        <w:rPr>
          <w:rFonts w:ascii="Tw Cen MT" w:hAnsi="Tw Cen MT"/>
          <w:b/>
          <w:bCs/>
          <w:color w:val="215868"/>
        </w:rPr>
        <w:t>12:00 pm – 1:30 pm</w:t>
      </w:r>
    </w:p>
    <w:p w14:paraId="1C0C9ED1" w14:textId="77777777" w:rsidR="0002384D" w:rsidRDefault="000C191F" w:rsidP="0002384D">
      <w:pPr>
        <w:rPr>
          <w:rFonts w:ascii="Tw Cen MT" w:hAnsi="Tw Cen MT"/>
          <w:b/>
          <w:bCs/>
          <w:color w:val="215868"/>
        </w:rPr>
      </w:pPr>
      <w:r>
        <w:rPr>
          <w:rFonts w:ascii="Tw Cen MT" w:hAnsi="Tw Cen MT"/>
          <w:b/>
          <w:bCs/>
          <w:color w:val="215868"/>
        </w:rPr>
        <w:t>Mission Bay - Mission Hall 1402</w:t>
      </w:r>
    </w:p>
    <w:p w14:paraId="2B357FEF" w14:textId="77777777" w:rsidR="001D016E" w:rsidRDefault="001D016E" w:rsidP="0002384D">
      <w:pPr>
        <w:rPr>
          <w:rFonts w:ascii="Tw Cen MT" w:hAnsi="Tw Cen MT"/>
          <w:b/>
          <w:bCs/>
          <w:color w:val="215868"/>
        </w:rPr>
      </w:pPr>
    </w:p>
    <w:p w14:paraId="3E79BCA8" w14:textId="77777777" w:rsidR="001D016E" w:rsidRDefault="001D016E" w:rsidP="003E6E1B">
      <w:pPr>
        <w:rPr>
          <w:rFonts w:ascii="Tw Cen MT" w:hAnsi="Tw Cen MT"/>
          <w:color w:val="215868"/>
        </w:rPr>
      </w:pPr>
      <w:r>
        <w:rPr>
          <w:rFonts w:ascii="Tw Cen MT" w:hAnsi="Tw Cen MT"/>
          <w:b/>
          <w:bCs/>
          <w:color w:val="215868"/>
        </w:rPr>
        <w:t xml:space="preserve">Attendees: </w:t>
      </w:r>
      <w:r w:rsidRPr="001D016E">
        <w:rPr>
          <w:rFonts w:ascii="Tw Cen MT" w:hAnsi="Tw Cen MT"/>
          <w:color w:val="215868"/>
        </w:rPr>
        <w:t>Tom Kearney (</w:t>
      </w:r>
      <w:r w:rsidR="003E6E1B">
        <w:rPr>
          <w:rFonts w:ascii="Tw Cen MT" w:hAnsi="Tw Cen MT"/>
          <w:color w:val="215868"/>
        </w:rPr>
        <w:t xml:space="preserve">CP - </w:t>
      </w:r>
      <w:r w:rsidRPr="001D016E">
        <w:rPr>
          <w:rFonts w:ascii="Tw Cen MT" w:hAnsi="Tw Cen MT"/>
          <w:color w:val="215868"/>
        </w:rPr>
        <w:t>Chair)</w:t>
      </w:r>
      <w:r w:rsidR="003E6E1B">
        <w:rPr>
          <w:rFonts w:ascii="Tw Cen MT" w:hAnsi="Tw Cen MT"/>
          <w:color w:val="215868"/>
        </w:rPr>
        <w:t>,</w:t>
      </w:r>
      <w:r w:rsidRPr="001D016E">
        <w:rPr>
          <w:rFonts w:ascii="Tw Cen MT" w:hAnsi="Tw Cen MT"/>
          <w:color w:val="215868"/>
        </w:rPr>
        <w:t xml:space="preserve"> </w:t>
      </w:r>
      <w:r w:rsidR="000C191F">
        <w:rPr>
          <w:rFonts w:ascii="Tw Cen MT" w:hAnsi="Tw Cen MT"/>
          <w:color w:val="215868"/>
        </w:rPr>
        <w:t xml:space="preserve">Al Burlingame (PC), Rada </w:t>
      </w:r>
      <w:proofErr w:type="spellStart"/>
      <w:r w:rsidR="000C191F">
        <w:rPr>
          <w:rFonts w:ascii="Tw Cen MT" w:hAnsi="Tw Cen MT"/>
          <w:color w:val="215868"/>
        </w:rPr>
        <w:t>Savic</w:t>
      </w:r>
      <w:proofErr w:type="spellEnd"/>
      <w:r w:rsidR="00445F9C">
        <w:rPr>
          <w:rFonts w:ascii="Tw Cen MT" w:hAnsi="Tw Cen MT"/>
          <w:color w:val="215868"/>
        </w:rPr>
        <w:t xml:space="preserve"> </w:t>
      </w:r>
      <w:r w:rsidR="003E6E1B">
        <w:rPr>
          <w:rFonts w:ascii="Tw Cen MT" w:hAnsi="Tw Cen MT"/>
          <w:color w:val="215868"/>
        </w:rPr>
        <w:t>(</w:t>
      </w:r>
      <w:r w:rsidR="003E6E1B" w:rsidRPr="001D016E">
        <w:rPr>
          <w:rFonts w:ascii="Tw Cen MT" w:hAnsi="Tw Cen MT"/>
          <w:color w:val="215868"/>
        </w:rPr>
        <w:t>CP</w:t>
      </w:r>
      <w:r w:rsidR="003E6E1B">
        <w:rPr>
          <w:rFonts w:ascii="Tw Cen MT" w:hAnsi="Tw Cen MT"/>
          <w:b/>
          <w:bCs/>
          <w:color w:val="215868"/>
        </w:rPr>
        <w:t xml:space="preserve">), </w:t>
      </w:r>
      <w:r w:rsidR="00445F9C">
        <w:rPr>
          <w:rFonts w:ascii="Tw Cen MT" w:hAnsi="Tw Cen MT"/>
          <w:color w:val="215868"/>
        </w:rPr>
        <w:t xml:space="preserve">Ian </w:t>
      </w:r>
      <w:proofErr w:type="spellStart"/>
      <w:r w:rsidR="00445F9C">
        <w:rPr>
          <w:rFonts w:ascii="Tw Cen MT" w:hAnsi="Tw Cen MT"/>
          <w:color w:val="215868"/>
        </w:rPr>
        <w:t>Seiple</w:t>
      </w:r>
      <w:proofErr w:type="spellEnd"/>
      <w:r w:rsidR="00445F9C">
        <w:rPr>
          <w:rFonts w:ascii="Tw Cen MT" w:hAnsi="Tw Cen MT"/>
          <w:color w:val="215868"/>
        </w:rPr>
        <w:t xml:space="preserve"> </w:t>
      </w:r>
      <w:r w:rsidR="003E6E1B">
        <w:rPr>
          <w:rFonts w:ascii="Tw Cen MT" w:hAnsi="Tw Cen MT"/>
          <w:color w:val="215868"/>
        </w:rPr>
        <w:t xml:space="preserve">(PC), Frank </w:t>
      </w:r>
      <w:proofErr w:type="spellStart"/>
      <w:r w:rsidR="003E6E1B">
        <w:rPr>
          <w:rFonts w:ascii="Tw Cen MT" w:hAnsi="Tw Cen MT"/>
          <w:color w:val="215868"/>
        </w:rPr>
        <w:t>Szoka</w:t>
      </w:r>
      <w:proofErr w:type="spellEnd"/>
      <w:r w:rsidR="003E6E1B">
        <w:rPr>
          <w:rFonts w:ascii="Tw Cen MT" w:hAnsi="Tw Cen MT"/>
          <w:color w:val="215868"/>
        </w:rPr>
        <w:t xml:space="preserve"> (</w:t>
      </w:r>
      <w:r>
        <w:rPr>
          <w:rFonts w:ascii="Tw Cen MT" w:hAnsi="Tw Cen MT"/>
          <w:color w:val="215868"/>
        </w:rPr>
        <w:t>BTS</w:t>
      </w:r>
      <w:r w:rsidR="003E6E1B">
        <w:rPr>
          <w:rFonts w:ascii="Tw Cen MT" w:hAnsi="Tw Cen MT"/>
          <w:color w:val="215868"/>
        </w:rPr>
        <w:t xml:space="preserve">), Bani </w:t>
      </w:r>
      <w:proofErr w:type="spellStart"/>
      <w:r w:rsidR="003E6E1B">
        <w:rPr>
          <w:rFonts w:ascii="Tw Cen MT" w:hAnsi="Tw Cen MT"/>
          <w:color w:val="215868"/>
        </w:rPr>
        <w:t>T</w:t>
      </w:r>
      <w:r w:rsidR="003E6E1B" w:rsidRPr="001D016E">
        <w:rPr>
          <w:rFonts w:ascii="Tw Cen MT" w:hAnsi="Tw Cen MT"/>
          <w:color w:val="215868"/>
        </w:rPr>
        <w:t>amraz</w:t>
      </w:r>
      <w:proofErr w:type="spellEnd"/>
      <w:r w:rsidR="003E6E1B" w:rsidRPr="001D016E">
        <w:rPr>
          <w:rFonts w:ascii="Tw Cen MT" w:hAnsi="Tw Cen MT"/>
          <w:color w:val="215868"/>
        </w:rPr>
        <w:t xml:space="preserve"> </w:t>
      </w:r>
      <w:r w:rsidR="003E6E1B">
        <w:rPr>
          <w:rFonts w:ascii="Tw Cen MT" w:hAnsi="Tw Cen MT"/>
          <w:color w:val="215868"/>
        </w:rPr>
        <w:t>(</w:t>
      </w:r>
      <w:r w:rsidR="003E6E1B" w:rsidRPr="001D016E">
        <w:rPr>
          <w:rFonts w:ascii="Tw Cen MT" w:hAnsi="Tw Cen MT"/>
          <w:color w:val="215868"/>
        </w:rPr>
        <w:t>CP</w:t>
      </w:r>
      <w:r w:rsidR="003E6E1B">
        <w:rPr>
          <w:rFonts w:ascii="Tw Cen MT" w:hAnsi="Tw Cen MT"/>
          <w:color w:val="215868"/>
        </w:rPr>
        <w:t>)</w:t>
      </w:r>
      <w:r w:rsidR="00445F9C">
        <w:rPr>
          <w:rFonts w:ascii="Tw Cen MT" w:hAnsi="Tw Cen MT"/>
          <w:color w:val="215868"/>
        </w:rPr>
        <w:t xml:space="preserve"> Crystal Zhou via Zoom (CP)</w:t>
      </w:r>
      <w:r w:rsidR="006A4C27">
        <w:rPr>
          <w:rFonts w:ascii="Tw Cen MT" w:hAnsi="Tw Cen MT"/>
          <w:color w:val="215868"/>
        </w:rPr>
        <w:t>,</w:t>
      </w:r>
      <w:r w:rsidR="003E6E1B">
        <w:rPr>
          <w:rFonts w:ascii="Tw Cen MT" w:hAnsi="Tw Cen MT"/>
          <w:color w:val="215868"/>
        </w:rPr>
        <w:t xml:space="preserve"> </w:t>
      </w:r>
      <w:r w:rsidR="006B425B" w:rsidRPr="001D016E">
        <w:rPr>
          <w:rFonts w:ascii="Tw Cen MT" w:hAnsi="Tw Cen MT"/>
          <w:color w:val="215868"/>
        </w:rPr>
        <w:t xml:space="preserve">Diana </w:t>
      </w:r>
      <w:proofErr w:type="spellStart"/>
      <w:r w:rsidR="006B425B" w:rsidRPr="001D016E">
        <w:rPr>
          <w:rFonts w:ascii="Tw Cen MT" w:hAnsi="Tw Cen MT"/>
          <w:color w:val="215868"/>
        </w:rPr>
        <w:t>Koeplin</w:t>
      </w:r>
      <w:proofErr w:type="spellEnd"/>
      <w:r w:rsidR="006B425B" w:rsidRPr="001D016E">
        <w:rPr>
          <w:rFonts w:ascii="Tw Cen MT" w:hAnsi="Tw Cen MT"/>
          <w:color w:val="215868"/>
        </w:rPr>
        <w:t xml:space="preserve"> </w:t>
      </w:r>
      <w:r w:rsidR="003E6E1B">
        <w:rPr>
          <w:rFonts w:ascii="Tw Cen MT" w:hAnsi="Tw Cen MT"/>
          <w:color w:val="215868"/>
        </w:rPr>
        <w:t>(</w:t>
      </w:r>
      <w:r w:rsidR="006A4C27">
        <w:rPr>
          <w:rFonts w:ascii="Tw Cen MT" w:hAnsi="Tw Cen MT"/>
          <w:color w:val="215868"/>
        </w:rPr>
        <w:t>DO</w:t>
      </w:r>
      <w:r w:rsidR="003E6E1B">
        <w:rPr>
          <w:rFonts w:ascii="Tw Cen MT" w:hAnsi="Tw Cen MT"/>
          <w:color w:val="215868"/>
        </w:rPr>
        <w:t>),</w:t>
      </w:r>
      <w:r w:rsidR="006B425B" w:rsidRPr="001D016E">
        <w:rPr>
          <w:rFonts w:ascii="Tw Cen MT" w:hAnsi="Tw Cen MT"/>
          <w:color w:val="215868"/>
        </w:rPr>
        <w:t xml:space="preserve"> </w:t>
      </w:r>
      <w:r w:rsidR="006A4C27">
        <w:rPr>
          <w:rFonts w:ascii="Tw Cen MT" w:hAnsi="Tw Cen MT"/>
          <w:color w:val="215868"/>
        </w:rPr>
        <w:t xml:space="preserve">Phillip Babcock (VPAA), </w:t>
      </w:r>
      <w:r w:rsidRPr="001D016E">
        <w:rPr>
          <w:rFonts w:ascii="Tw Cen MT" w:hAnsi="Tw Cen MT"/>
          <w:color w:val="215868"/>
        </w:rPr>
        <w:t xml:space="preserve">Michelle King </w:t>
      </w:r>
      <w:r w:rsidR="003E6E1B">
        <w:rPr>
          <w:rFonts w:ascii="Tw Cen MT" w:hAnsi="Tw Cen MT"/>
          <w:color w:val="215868"/>
        </w:rPr>
        <w:t>(</w:t>
      </w:r>
      <w:r w:rsidRPr="001D016E">
        <w:rPr>
          <w:rFonts w:ascii="Tw Cen MT" w:hAnsi="Tw Cen MT"/>
          <w:color w:val="215868"/>
        </w:rPr>
        <w:t>DO</w:t>
      </w:r>
      <w:r w:rsidR="003E6E1B">
        <w:rPr>
          <w:rFonts w:ascii="Tw Cen MT" w:hAnsi="Tw Cen MT"/>
          <w:color w:val="215868"/>
        </w:rPr>
        <w:t>)</w:t>
      </w:r>
    </w:p>
    <w:p w14:paraId="5F4741C9" w14:textId="77777777" w:rsidR="0002384D" w:rsidRDefault="0002384D" w:rsidP="0002384D">
      <w:pPr>
        <w:rPr>
          <w:rFonts w:ascii="Tw Cen MT" w:hAnsi="Tw Cen MT"/>
          <w:b/>
          <w:bCs/>
          <w:color w:val="215868"/>
        </w:rPr>
      </w:pPr>
    </w:p>
    <w:p w14:paraId="4BB3A42B" w14:textId="77777777" w:rsidR="006B425B" w:rsidRDefault="006B425B" w:rsidP="006B425B">
      <w:pPr>
        <w:rPr>
          <w:color w:val="000000"/>
        </w:rPr>
      </w:pPr>
      <w:r>
        <w:rPr>
          <w:rFonts w:ascii="Tw Cen MT" w:hAnsi="Tw Cen MT"/>
          <w:b/>
          <w:bCs/>
          <w:color w:val="215868"/>
        </w:rPr>
        <w:t>Handouts:  </w:t>
      </w:r>
    </w:p>
    <w:p w14:paraId="45ADF1E4" w14:textId="77777777" w:rsidR="000C191F" w:rsidRPr="004B518B" w:rsidRDefault="000C191F" w:rsidP="000C191F">
      <w:pPr>
        <w:ind w:left="720"/>
        <w:rPr>
          <w:rFonts w:cstheme="minorHAnsi"/>
          <w:color w:val="000000"/>
          <w:sz w:val="21"/>
          <w:szCs w:val="21"/>
        </w:rPr>
      </w:pPr>
      <w:r w:rsidRPr="004B518B">
        <w:rPr>
          <w:rFonts w:cstheme="minorHAnsi"/>
          <w:color w:val="215868"/>
          <w:sz w:val="21"/>
          <w:szCs w:val="21"/>
        </w:rPr>
        <w:t xml:space="preserve">1.      </w:t>
      </w:r>
      <w:r w:rsidRPr="000C191F">
        <w:rPr>
          <w:rFonts w:cstheme="minorHAnsi"/>
          <w:sz w:val="21"/>
          <w:szCs w:val="21"/>
        </w:rPr>
        <w:t xml:space="preserve">SOP Comp Plan Advisory Committee responsibilities with </w:t>
      </w:r>
      <w:proofErr w:type="gramStart"/>
      <w:r w:rsidRPr="000C191F">
        <w:rPr>
          <w:rFonts w:cstheme="minorHAnsi"/>
          <w:sz w:val="21"/>
          <w:szCs w:val="21"/>
        </w:rPr>
        <w:t>2018-19 member</w:t>
      </w:r>
      <w:proofErr w:type="gramEnd"/>
      <w:r w:rsidRPr="000C191F">
        <w:rPr>
          <w:rFonts w:cstheme="minorHAnsi"/>
          <w:sz w:val="21"/>
          <w:szCs w:val="21"/>
        </w:rPr>
        <w:t xml:space="preserve"> list</w:t>
      </w:r>
    </w:p>
    <w:p w14:paraId="3D25A3BA" w14:textId="77777777" w:rsidR="000C191F" w:rsidRPr="004B518B" w:rsidRDefault="000C191F" w:rsidP="000C191F">
      <w:pPr>
        <w:ind w:left="720"/>
        <w:rPr>
          <w:rFonts w:cstheme="minorHAnsi"/>
          <w:color w:val="000000"/>
          <w:sz w:val="21"/>
          <w:szCs w:val="21"/>
        </w:rPr>
      </w:pPr>
      <w:r w:rsidRPr="004B518B">
        <w:rPr>
          <w:rFonts w:cstheme="minorHAnsi"/>
          <w:color w:val="215868"/>
          <w:sz w:val="21"/>
          <w:szCs w:val="21"/>
        </w:rPr>
        <w:t xml:space="preserve">2.      </w:t>
      </w:r>
      <w:r w:rsidRPr="000C191F">
        <w:rPr>
          <w:rFonts w:cstheme="minorHAnsi"/>
          <w:sz w:val="21"/>
          <w:szCs w:val="21"/>
        </w:rPr>
        <w:t>Comp Plan Advisory Committee Minutes from November 5, 2018</w:t>
      </w:r>
    </w:p>
    <w:p w14:paraId="6806DFA0" w14:textId="77777777" w:rsidR="000C191F" w:rsidRDefault="000C191F" w:rsidP="000C191F">
      <w:pPr>
        <w:ind w:left="720"/>
        <w:rPr>
          <w:rFonts w:cstheme="minorHAnsi"/>
          <w:sz w:val="21"/>
          <w:szCs w:val="21"/>
        </w:rPr>
      </w:pPr>
      <w:r w:rsidRPr="004B518B">
        <w:rPr>
          <w:rFonts w:cstheme="minorHAnsi"/>
          <w:color w:val="215868"/>
          <w:sz w:val="21"/>
          <w:szCs w:val="21"/>
        </w:rPr>
        <w:t xml:space="preserve">3.      </w:t>
      </w:r>
      <w:r w:rsidRPr="000C191F">
        <w:rPr>
          <w:rFonts w:cstheme="minorHAnsi"/>
          <w:sz w:val="21"/>
          <w:szCs w:val="21"/>
        </w:rPr>
        <w:t>SOP Comp Plan Changes</w:t>
      </w:r>
    </w:p>
    <w:p w14:paraId="6ABDDAC8" w14:textId="77777777" w:rsidR="00ED7B66" w:rsidRPr="00ED7B66" w:rsidRDefault="00ED7B66" w:rsidP="000C191F">
      <w:pPr>
        <w:ind w:left="720"/>
        <w:rPr>
          <w:rFonts w:cstheme="minorHAnsi"/>
          <w:color w:val="215868"/>
          <w:sz w:val="21"/>
          <w:szCs w:val="21"/>
        </w:rPr>
      </w:pPr>
      <w:r w:rsidRPr="00ED7B66">
        <w:rPr>
          <w:rFonts w:cstheme="minorHAnsi"/>
          <w:color w:val="215868"/>
          <w:sz w:val="21"/>
          <w:szCs w:val="21"/>
        </w:rPr>
        <w:t xml:space="preserve">4. </w:t>
      </w:r>
      <w:r>
        <w:rPr>
          <w:rFonts w:cstheme="minorHAnsi"/>
          <w:color w:val="215868"/>
          <w:sz w:val="21"/>
          <w:szCs w:val="21"/>
        </w:rPr>
        <w:t xml:space="preserve">     </w:t>
      </w:r>
      <w:r w:rsidRPr="00ED7B66">
        <w:rPr>
          <w:rFonts w:cstheme="minorHAnsi"/>
          <w:color w:val="000000" w:themeColor="text1"/>
          <w:sz w:val="21"/>
          <w:szCs w:val="21"/>
        </w:rPr>
        <w:t>FSER Summary Report</w:t>
      </w:r>
    </w:p>
    <w:p w14:paraId="107F2CCF" w14:textId="77777777" w:rsidR="006B425B" w:rsidRDefault="00C57261" w:rsidP="0002384D">
      <w:pPr>
        <w:rPr>
          <w:rFonts w:ascii="Tw Cen MT" w:hAnsi="Tw Cen MT"/>
          <w:b/>
          <w:bCs/>
          <w:color w:val="215868"/>
        </w:rPr>
      </w:pPr>
      <w:r>
        <w:rPr>
          <w:rFonts w:ascii="Tw Cen MT" w:hAnsi="Tw Cen MT"/>
          <w:b/>
          <w:bCs/>
          <w:noProof/>
          <w:color w:val="215868"/>
        </w:rPr>
        <mc:AlternateContent>
          <mc:Choice Requires="wps">
            <w:drawing>
              <wp:anchor distT="0" distB="0" distL="114300" distR="114300" simplePos="0" relativeHeight="251659264" behindDoc="0" locked="0" layoutInCell="1" allowOverlap="1" wp14:anchorId="1C1408C6" wp14:editId="47A1526B">
                <wp:simplePos x="0" y="0"/>
                <wp:positionH relativeFrom="column">
                  <wp:posOffset>-50800</wp:posOffset>
                </wp:positionH>
                <wp:positionV relativeFrom="paragraph">
                  <wp:posOffset>48532</wp:posOffset>
                </wp:positionV>
                <wp:extent cx="6059714" cy="29029"/>
                <wp:effectExtent l="0" t="0" r="36830" b="28575"/>
                <wp:wrapNone/>
                <wp:docPr id="1" name="Straight Connector 1"/>
                <wp:cNvGraphicFramePr/>
                <a:graphic xmlns:a="http://schemas.openxmlformats.org/drawingml/2006/main">
                  <a:graphicData uri="http://schemas.microsoft.com/office/word/2010/wordprocessingShape">
                    <wps:wsp>
                      <wps:cNvCnPr/>
                      <wps:spPr>
                        <a:xfrm flipV="1">
                          <a:off x="0" y="0"/>
                          <a:ext cx="6059714" cy="29029"/>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E5AA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3.8pt" to="473.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" strokecolor="#205867 [1608]"/>
            </w:pict>
          </mc:Fallback>
        </mc:AlternateContent>
      </w:r>
    </w:p>
    <w:p w14:paraId="79E6C83A" w14:textId="77777777" w:rsidR="0002384D" w:rsidRDefault="0002384D" w:rsidP="0002384D">
      <w:pPr>
        <w:rPr>
          <w:rFonts w:ascii="Tw Cen MT" w:hAnsi="Tw Cen MT"/>
          <w:b/>
          <w:bCs/>
          <w:color w:val="215868"/>
        </w:rPr>
      </w:pPr>
    </w:p>
    <w:p w14:paraId="259C60C4" w14:textId="77777777" w:rsidR="0002384D" w:rsidRPr="006C69BD" w:rsidRDefault="0002384D" w:rsidP="0002384D">
      <w:pPr>
        <w:rPr>
          <w:b/>
          <w:color w:val="000000"/>
        </w:rPr>
      </w:pPr>
      <w:r w:rsidRPr="006C69BD">
        <w:rPr>
          <w:rFonts w:ascii="Tw Cen MT" w:hAnsi="Tw Cen MT"/>
          <w:b/>
          <w:bCs/>
          <w:color w:val="215868"/>
        </w:rPr>
        <w:t>AGENDA:</w:t>
      </w:r>
    </w:p>
    <w:p w14:paraId="7B39173E" w14:textId="77777777" w:rsidR="006B425B" w:rsidRDefault="0002384D" w:rsidP="0006692E">
      <w:pPr>
        <w:pStyle w:val="ListParagraph"/>
        <w:numPr>
          <w:ilvl w:val="0"/>
          <w:numId w:val="4"/>
        </w:numPr>
      </w:pPr>
      <w:r w:rsidRPr="006C69BD">
        <w:rPr>
          <w:rFonts w:ascii="Tw Cen MT" w:hAnsi="Tw Cen MT"/>
          <w:b/>
          <w:color w:val="215868"/>
        </w:rPr>
        <w:t>Welcome</w:t>
      </w:r>
      <w:r w:rsidR="001D016E" w:rsidRPr="003E6E1B">
        <w:rPr>
          <w:rFonts w:ascii="Tw Cen MT" w:hAnsi="Tw Cen MT"/>
          <w:b/>
          <w:color w:val="215868"/>
        </w:rPr>
        <w:t xml:space="preserve"> -</w:t>
      </w:r>
      <w:r w:rsidR="001D016E">
        <w:rPr>
          <w:rFonts w:ascii="Tw Cen MT" w:hAnsi="Tw Cen MT"/>
          <w:color w:val="215868"/>
        </w:rPr>
        <w:t xml:space="preserve"> </w:t>
      </w:r>
      <w:r w:rsidR="006B425B">
        <w:t xml:space="preserve">The meeting began </w:t>
      </w:r>
      <w:r w:rsidR="00E86265">
        <w:t>at 12:05</w:t>
      </w:r>
      <w:r w:rsidR="00A71E68">
        <w:t xml:space="preserve">pm </w:t>
      </w:r>
      <w:r w:rsidR="009E51A2">
        <w:t>with a self-</w:t>
      </w:r>
      <w:r w:rsidR="006B425B">
        <w:t xml:space="preserve">introduction </w:t>
      </w:r>
      <w:r w:rsidR="00A71E68">
        <w:t>of each committee member</w:t>
      </w:r>
      <w:r w:rsidR="006B425B">
        <w:t>.</w:t>
      </w:r>
      <w:r w:rsidR="00CE679A">
        <w:t xml:space="preserve"> </w:t>
      </w:r>
    </w:p>
    <w:p w14:paraId="583D8FC5" w14:textId="77777777" w:rsidR="0006692E" w:rsidRPr="006B425B" w:rsidRDefault="0006692E" w:rsidP="0006692E">
      <w:pPr>
        <w:pStyle w:val="ListParagraph"/>
        <w:ind w:left="744"/>
        <w:rPr>
          <w:rFonts w:ascii="Tw Cen MT" w:hAnsi="Tw Cen MT"/>
          <w:color w:val="215868"/>
        </w:rPr>
      </w:pPr>
    </w:p>
    <w:p w14:paraId="4CC16849" w14:textId="77777777" w:rsidR="0002384D" w:rsidRPr="006C69BD" w:rsidRDefault="0002384D" w:rsidP="0002384D">
      <w:pPr>
        <w:pStyle w:val="ListParagraph"/>
        <w:ind w:hanging="360"/>
        <w:rPr>
          <w:rFonts w:ascii="Tw Cen MT" w:hAnsi="Tw Cen MT"/>
          <w:b/>
          <w:color w:val="215868"/>
        </w:rPr>
      </w:pPr>
      <w:r w:rsidRPr="006C69BD">
        <w:rPr>
          <w:rFonts w:ascii="Tw Cen MT" w:hAnsi="Tw Cen MT"/>
          <w:b/>
          <w:color w:val="215868"/>
        </w:rPr>
        <w:t>2.</w:t>
      </w:r>
      <w:r w:rsidRPr="006C69BD">
        <w:rPr>
          <w:rFonts w:ascii="Times New Roman" w:hAnsi="Times New Roman"/>
          <w:b/>
          <w:color w:val="215868"/>
          <w:sz w:val="14"/>
          <w:szCs w:val="14"/>
        </w:rPr>
        <w:t xml:space="preserve">      </w:t>
      </w:r>
      <w:r w:rsidRPr="006C69BD">
        <w:rPr>
          <w:rFonts w:ascii="Tw Cen MT" w:hAnsi="Tw Cen MT"/>
          <w:b/>
          <w:color w:val="215868"/>
        </w:rPr>
        <w:t>Respons</w:t>
      </w:r>
      <w:r w:rsidR="00487B91">
        <w:rPr>
          <w:rFonts w:ascii="Tw Cen MT" w:hAnsi="Tw Cen MT"/>
          <w:b/>
          <w:color w:val="215868"/>
        </w:rPr>
        <w:t>ibilities of Advisory Committee</w:t>
      </w:r>
    </w:p>
    <w:p w14:paraId="32CA8BB1" w14:textId="77777777" w:rsidR="00A71E68" w:rsidRDefault="00A71E68" w:rsidP="0085419E">
      <w:pPr>
        <w:pStyle w:val="ListParagraph"/>
      </w:pPr>
      <w:r>
        <w:t xml:space="preserve">The committee has 6 members, 2 representatives from each Department, serving for </w:t>
      </w:r>
      <w:proofErr w:type="gramStart"/>
      <w:r>
        <w:t>3 year</w:t>
      </w:r>
      <w:proofErr w:type="gramEnd"/>
      <w:r>
        <w:t xml:space="preserve"> terms. </w:t>
      </w:r>
      <w:r w:rsidR="00D776A4">
        <w:t xml:space="preserve">To the extent possible, members are from each of the series </w:t>
      </w:r>
      <w:r w:rsidR="00F54A47">
        <w:t>to represent</w:t>
      </w:r>
      <w:r w:rsidR="00D776A4">
        <w:t xml:space="preserve"> diverse</w:t>
      </w:r>
      <w:r w:rsidR="00F54A47">
        <w:t xml:space="preserve"> viewpoints</w:t>
      </w:r>
      <w:r w:rsidR="00D776A4">
        <w:t>.</w:t>
      </w:r>
    </w:p>
    <w:p w14:paraId="1F5DD09B" w14:textId="63E071FB" w:rsidR="00D776A4" w:rsidRDefault="00EF38E9" w:rsidP="00D776A4">
      <w:pPr>
        <w:pStyle w:val="ListParagraph"/>
      </w:pPr>
      <w:r>
        <w:t>Associate Dean Kearney</w:t>
      </w:r>
      <w:r w:rsidR="008A1608">
        <w:t xml:space="preserve"> reviewed the C</w:t>
      </w:r>
      <w:r w:rsidR="00D776A4" w:rsidRPr="0085419E">
        <w:t>ommittee</w:t>
      </w:r>
      <w:r w:rsidR="00D776A4">
        <w:t xml:space="preserve">’s charge and responsibilities </w:t>
      </w:r>
      <w:r w:rsidR="00487B91">
        <w:t xml:space="preserve">(handout #1) </w:t>
      </w:r>
      <w:r w:rsidR="00D776A4">
        <w:t xml:space="preserve">which include </w:t>
      </w:r>
      <w:r w:rsidR="009529F4">
        <w:t xml:space="preserve">the following: </w:t>
      </w:r>
      <w:r w:rsidR="00D776A4">
        <w:t xml:space="preserve">advising the Dean, </w:t>
      </w:r>
      <w:r w:rsidR="00D776A4" w:rsidRPr="00D776A4">
        <w:t>Academic Programmatic Unit (APU) assignments,</w:t>
      </w:r>
      <w:r w:rsidR="00D776A4" w:rsidRPr="00360463">
        <w:t xml:space="preserve"> </w:t>
      </w:r>
      <w:r w:rsidR="00360463" w:rsidRPr="00360463">
        <w:t xml:space="preserve">members serve as </w:t>
      </w:r>
      <w:r w:rsidR="00F54A47">
        <w:t xml:space="preserve">a </w:t>
      </w:r>
      <w:r w:rsidR="00360463" w:rsidRPr="00360463">
        <w:t xml:space="preserve">conduit to their </w:t>
      </w:r>
      <w:r w:rsidR="00F54A47">
        <w:t xml:space="preserve">respective </w:t>
      </w:r>
      <w:r w:rsidR="00360463" w:rsidRPr="00360463">
        <w:t xml:space="preserve">departments, </w:t>
      </w:r>
      <w:r w:rsidR="00F54A47">
        <w:t xml:space="preserve">the Committee </w:t>
      </w:r>
      <w:r w:rsidR="009529F4">
        <w:t>review</w:t>
      </w:r>
      <w:r w:rsidR="00F54A47">
        <w:t>s</w:t>
      </w:r>
      <w:r w:rsidR="009529F4">
        <w:t xml:space="preserve"> any conflicts </w:t>
      </w:r>
      <w:r w:rsidR="00F54A47">
        <w:t>dealing with</w:t>
      </w:r>
      <w:r w:rsidR="009529F4">
        <w:t xml:space="preserve"> outside professional activities, </w:t>
      </w:r>
      <w:r w:rsidR="00F54A47">
        <w:t xml:space="preserve">the </w:t>
      </w:r>
      <w:r w:rsidR="009529F4">
        <w:t xml:space="preserve">appeals </w:t>
      </w:r>
      <w:r w:rsidR="004B0A35">
        <w:t>process</w:t>
      </w:r>
      <w:r w:rsidR="009529F4">
        <w:t xml:space="preserve"> for faculty</w:t>
      </w:r>
      <w:r w:rsidR="004B0A35">
        <w:t xml:space="preserve"> that fall out of good standing, </w:t>
      </w:r>
      <w:r w:rsidR="00F54A47">
        <w:t xml:space="preserve">and to </w:t>
      </w:r>
      <w:r w:rsidR="004B0A35">
        <w:t xml:space="preserve">provide </w:t>
      </w:r>
      <w:r w:rsidR="00F54A47">
        <w:t xml:space="preserve">an </w:t>
      </w:r>
      <w:r w:rsidR="004B0A35">
        <w:t>annual summary to the Dean.</w:t>
      </w:r>
      <w:r w:rsidR="00EE607A">
        <w:t xml:space="preserve"> In addition, </w:t>
      </w:r>
      <w:r w:rsidR="00F54A47">
        <w:t xml:space="preserve">the Committee is the </w:t>
      </w:r>
      <w:r w:rsidR="00EE607A">
        <w:t>sounding board for FSER report and analysis.</w:t>
      </w:r>
      <w:r w:rsidR="00B86EBE">
        <w:t xml:space="preserve"> </w:t>
      </w:r>
    </w:p>
    <w:p w14:paraId="6D1892D6" w14:textId="77777777" w:rsidR="00A71E68" w:rsidRPr="006C69BD" w:rsidRDefault="00A71E68" w:rsidP="0085419E">
      <w:pPr>
        <w:pStyle w:val="ListParagraph"/>
        <w:rPr>
          <w:b/>
        </w:rPr>
      </w:pPr>
    </w:p>
    <w:p w14:paraId="62C61559" w14:textId="77777777" w:rsidR="0002384D" w:rsidRPr="006C69BD" w:rsidRDefault="0002384D" w:rsidP="0002384D">
      <w:pPr>
        <w:pStyle w:val="ListParagraph"/>
        <w:ind w:hanging="360"/>
        <w:rPr>
          <w:rFonts w:ascii="Tw Cen MT" w:hAnsi="Tw Cen MT"/>
          <w:b/>
          <w:color w:val="215868"/>
        </w:rPr>
      </w:pPr>
      <w:r w:rsidRPr="006C69BD">
        <w:rPr>
          <w:rFonts w:ascii="Tw Cen MT" w:hAnsi="Tw Cen MT"/>
          <w:b/>
          <w:color w:val="215868"/>
        </w:rPr>
        <w:t>3.</w:t>
      </w:r>
      <w:r w:rsidRPr="006C69BD">
        <w:rPr>
          <w:rFonts w:ascii="Times New Roman" w:hAnsi="Times New Roman"/>
          <w:b/>
          <w:color w:val="215868"/>
          <w:sz w:val="14"/>
          <w:szCs w:val="14"/>
        </w:rPr>
        <w:t xml:space="preserve">      </w:t>
      </w:r>
      <w:r w:rsidRPr="006C69BD">
        <w:rPr>
          <w:rFonts w:ascii="Tw Cen MT" w:hAnsi="Tw Cen MT"/>
          <w:b/>
          <w:color w:val="215868"/>
        </w:rPr>
        <w:t xml:space="preserve">Approval of Minutes from the </w:t>
      </w:r>
      <w:r w:rsidR="00E86265">
        <w:rPr>
          <w:rFonts w:ascii="Tw Cen MT" w:hAnsi="Tw Cen MT"/>
          <w:b/>
          <w:color w:val="215868"/>
        </w:rPr>
        <w:t>November 5, 2018</w:t>
      </w:r>
      <w:r w:rsidR="00761CAF" w:rsidRPr="006C69BD">
        <w:rPr>
          <w:rFonts w:ascii="Tw Cen MT" w:hAnsi="Tw Cen MT"/>
          <w:b/>
          <w:color w:val="215868"/>
        </w:rPr>
        <w:t xml:space="preserve"> </w:t>
      </w:r>
      <w:r w:rsidR="00DF3ECA">
        <w:rPr>
          <w:rFonts w:ascii="Tw Cen MT" w:hAnsi="Tw Cen MT"/>
          <w:b/>
          <w:color w:val="215868"/>
        </w:rPr>
        <w:t>meeting</w:t>
      </w:r>
    </w:p>
    <w:p w14:paraId="642DF00A" w14:textId="53E382B4" w:rsidR="00565E30" w:rsidRDefault="00EF38E9" w:rsidP="006B425B">
      <w:pPr>
        <w:pStyle w:val="ListParagraph"/>
      </w:pPr>
      <w:r>
        <w:t>Dr. Burlingame</w:t>
      </w:r>
      <w:r w:rsidR="006B425B">
        <w:t xml:space="preserve"> </w:t>
      </w:r>
      <w:r w:rsidR="00565E30">
        <w:t>moved to approve the meeting minutes</w:t>
      </w:r>
      <w:r w:rsidR="00DF3ECA">
        <w:t xml:space="preserve"> (handout #2)</w:t>
      </w:r>
      <w:r w:rsidR="00565E30">
        <w:t xml:space="preserve">, </w:t>
      </w:r>
      <w:r>
        <w:t xml:space="preserve">Dr. </w:t>
      </w:r>
      <w:proofErr w:type="spellStart"/>
      <w:r>
        <w:t>Szoka</w:t>
      </w:r>
      <w:proofErr w:type="spellEnd"/>
      <w:r w:rsidR="00565E30">
        <w:t xml:space="preserve"> provided the 2</w:t>
      </w:r>
      <w:r w:rsidR="00565E30" w:rsidRPr="00565E30">
        <w:rPr>
          <w:vertAlign w:val="superscript"/>
        </w:rPr>
        <w:t>nd</w:t>
      </w:r>
      <w:r w:rsidR="00565E30">
        <w:t xml:space="preserve"> motion. The meeting minutes </w:t>
      </w:r>
      <w:r w:rsidR="0000787D">
        <w:t>were</w:t>
      </w:r>
      <w:r w:rsidR="00565E30">
        <w:t xml:space="preserve"> approved </w:t>
      </w:r>
      <w:r w:rsidR="000626C9">
        <w:t xml:space="preserve">unanimously </w:t>
      </w:r>
      <w:r w:rsidR="00565E30">
        <w:t xml:space="preserve">without comment. </w:t>
      </w:r>
      <w:r w:rsidR="00761CAF" w:rsidRPr="00761CAF">
        <w:rPr>
          <w:highlight w:val="yellow"/>
        </w:rPr>
        <w:t>Action</w:t>
      </w:r>
      <w:r w:rsidR="00761CAF">
        <w:t>: The accepted minutes will be posted to the Academic Affairs website.</w:t>
      </w:r>
      <w:r w:rsidR="004B5A66">
        <w:t xml:space="preserve"> </w:t>
      </w:r>
    </w:p>
    <w:p w14:paraId="515EA160" w14:textId="77777777" w:rsidR="0006692E" w:rsidRDefault="0006692E" w:rsidP="00565E30"/>
    <w:p w14:paraId="3661AF60" w14:textId="77777777" w:rsidR="009E51A2" w:rsidRDefault="00AA3098" w:rsidP="0002384D">
      <w:pPr>
        <w:pStyle w:val="ListParagraph"/>
        <w:ind w:hanging="360"/>
        <w:rPr>
          <w:rFonts w:ascii="Tw Cen MT" w:hAnsi="Tw Cen MT"/>
          <w:b/>
          <w:color w:val="215868"/>
        </w:rPr>
      </w:pPr>
      <w:r>
        <w:rPr>
          <w:rFonts w:ascii="Tw Cen MT" w:hAnsi="Tw Cen MT"/>
          <w:b/>
          <w:color w:val="215868"/>
        </w:rPr>
        <w:t>4</w:t>
      </w:r>
      <w:r w:rsidR="0002384D" w:rsidRPr="0006692E">
        <w:rPr>
          <w:rFonts w:ascii="Tw Cen MT" w:hAnsi="Tw Cen MT"/>
          <w:b/>
          <w:color w:val="215868"/>
        </w:rPr>
        <w:t>.</w:t>
      </w:r>
      <w:r w:rsidR="0002384D" w:rsidRPr="0006692E">
        <w:rPr>
          <w:rFonts w:ascii="Times New Roman" w:hAnsi="Times New Roman"/>
          <w:b/>
          <w:color w:val="215868"/>
          <w:sz w:val="14"/>
          <w:szCs w:val="14"/>
        </w:rPr>
        <w:t>     </w:t>
      </w:r>
      <w:r w:rsidR="009E51A2">
        <w:rPr>
          <w:rFonts w:ascii="Tw Cen MT" w:hAnsi="Tw Cen MT"/>
          <w:b/>
          <w:color w:val="215868"/>
        </w:rPr>
        <w:t xml:space="preserve">Outside Activity Training </w:t>
      </w:r>
      <w:r w:rsidR="003B2EAD">
        <w:rPr>
          <w:rFonts w:ascii="Tw Cen MT" w:hAnsi="Tw Cen MT"/>
          <w:b/>
          <w:color w:val="215868"/>
        </w:rPr>
        <w:t xml:space="preserve">System </w:t>
      </w:r>
      <w:r w:rsidR="009E51A2">
        <w:rPr>
          <w:rFonts w:ascii="Tw Cen MT" w:hAnsi="Tw Cen MT"/>
          <w:b/>
          <w:color w:val="215868"/>
        </w:rPr>
        <w:t>(OATS)</w:t>
      </w:r>
    </w:p>
    <w:p w14:paraId="5C91C4FF" w14:textId="77777777" w:rsidR="00226E92" w:rsidRPr="00226E92" w:rsidRDefault="00B86EBE" w:rsidP="00226E92">
      <w:pPr>
        <w:ind w:left="720"/>
        <w:contextualSpacing/>
        <w:rPr>
          <w:rFonts w:cstheme="minorHAnsi"/>
          <w:color w:val="215868"/>
          <w:sz w:val="21"/>
          <w:szCs w:val="21"/>
        </w:rPr>
      </w:pPr>
      <w:r w:rsidRPr="00B86EBE">
        <w:t xml:space="preserve">UC OATS is </w:t>
      </w:r>
      <w:r w:rsidR="003E275F">
        <w:t xml:space="preserve">a </w:t>
      </w:r>
      <w:r w:rsidRPr="00B86EBE">
        <w:t>web-based application through which faculty members can repor</w:t>
      </w:r>
      <w:r w:rsidR="003E275F">
        <w:t>t outside activities and income, effective May 1</w:t>
      </w:r>
      <w:r w:rsidR="003E275F" w:rsidRPr="00226E92">
        <w:rPr>
          <w:vertAlign w:val="superscript"/>
        </w:rPr>
        <w:t>st</w:t>
      </w:r>
      <w:r w:rsidR="003E275F">
        <w:t>. Phillip pr</w:t>
      </w:r>
      <w:r w:rsidR="00B26329">
        <w:t xml:space="preserve">ovided a brief introduction </w:t>
      </w:r>
      <w:r w:rsidR="00226E92">
        <w:t xml:space="preserve">and </w:t>
      </w:r>
      <w:r w:rsidR="00910C0E">
        <w:t xml:space="preserve">offered his </w:t>
      </w:r>
      <w:r w:rsidR="00B26329">
        <w:t xml:space="preserve">on-going </w:t>
      </w:r>
      <w:r w:rsidR="00910C0E">
        <w:t>support for additional training to faculty, chairs and MSOs</w:t>
      </w:r>
      <w:r w:rsidR="003E275F">
        <w:t>.</w:t>
      </w:r>
      <w:r w:rsidR="00910C0E">
        <w:t xml:space="preserve"> </w:t>
      </w:r>
      <w:r w:rsidR="00226E92">
        <w:t xml:space="preserve">The following training videos were presented: </w:t>
      </w:r>
    </w:p>
    <w:p w14:paraId="5F3F63A5" w14:textId="77777777" w:rsidR="00226E92" w:rsidRPr="004B518B" w:rsidRDefault="000404E6" w:rsidP="007E1C53">
      <w:pPr>
        <w:pStyle w:val="ListParagraph"/>
        <w:numPr>
          <w:ilvl w:val="0"/>
          <w:numId w:val="9"/>
        </w:numPr>
        <w:contextualSpacing/>
        <w:rPr>
          <w:rFonts w:cstheme="minorHAnsi"/>
          <w:color w:val="215868"/>
          <w:sz w:val="21"/>
          <w:szCs w:val="21"/>
        </w:rPr>
      </w:pPr>
      <w:hyperlink r:id="rId7" w:history="1">
        <w:r w:rsidR="00226E92" w:rsidRPr="004B518B">
          <w:rPr>
            <w:rStyle w:val="Hyperlink"/>
            <w:rFonts w:cstheme="minorHAnsi"/>
            <w:sz w:val="21"/>
            <w:szCs w:val="21"/>
          </w:rPr>
          <w:t>Overview</w:t>
        </w:r>
      </w:hyperlink>
      <w:r w:rsidR="00226E92">
        <w:rPr>
          <w:rFonts w:cstheme="minorHAnsi"/>
          <w:color w:val="215868"/>
          <w:sz w:val="21"/>
          <w:szCs w:val="21"/>
        </w:rPr>
        <w:t xml:space="preserve"> </w:t>
      </w:r>
      <w:r w:rsidR="00226E92" w:rsidRPr="00274B27">
        <w:rPr>
          <w:rFonts w:cstheme="minorHAnsi"/>
          <w:color w:val="000000" w:themeColor="text1"/>
          <w:sz w:val="21"/>
          <w:szCs w:val="21"/>
        </w:rPr>
        <w:t>video</w:t>
      </w:r>
    </w:p>
    <w:p w14:paraId="1DDE9832" w14:textId="77777777" w:rsidR="00226E92" w:rsidRPr="00E4696B" w:rsidRDefault="000404E6" w:rsidP="007E1C53">
      <w:pPr>
        <w:pStyle w:val="ListParagraph"/>
        <w:numPr>
          <w:ilvl w:val="0"/>
          <w:numId w:val="9"/>
        </w:numPr>
        <w:contextualSpacing/>
        <w:rPr>
          <w:rFonts w:cstheme="minorHAnsi"/>
          <w:color w:val="215868"/>
          <w:sz w:val="21"/>
          <w:szCs w:val="21"/>
        </w:rPr>
      </w:pPr>
      <w:hyperlink r:id="rId8" w:history="1">
        <w:r w:rsidR="00226E92" w:rsidRPr="004B518B">
          <w:rPr>
            <w:rStyle w:val="Hyperlink"/>
            <w:rFonts w:cstheme="minorHAnsi"/>
            <w:sz w:val="21"/>
            <w:szCs w:val="21"/>
          </w:rPr>
          <w:t>Reporting</w:t>
        </w:r>
      </w:hyperlink>
      <w:r w:rsidR="00226E92">
        <w:rPr>
          <w:rFonts w:cstheme="minorHAnsi"/>
          <w:color w:val="215868"/>
          <w:sz w:val="21"/>
          <w:szCs w:val="21"/>
        </w:rPr>
        <w:t xml:space="preserve"> </w:t>
      </w:r>
      <w:r w:rsidR="00226E92" w:rsidRPr="00274B27">
        <w:rPr>
          <w:rFonts w:cstheme="minorHAnsi"/>
          <w:color w:val="000000" w:themeColor="text1"/>
          <w:sz w:val="21"/>
          <w:szCs w:val="21"/>
        </w:rPr>
        <w:t>video</w:t>
      </w:r>
    </w:p>
    <w:p w14:paraId="7F81752D" w14:textId="77777777" w:rsidR="00E4696B" w:rsidRDefault="00637563" w:rsidP="00637563">
      <w:pPr>
        <w:ind w:left="720"/>
        <w:contextualSpacing/>
        <w:rPr>
          <w:rFonts w:cstheme="minorHAnsi"/>
          <w:color w:val="000000" w:themeColor="text1"/>
        </w:rPr>
      </w:pPr>
      <w:r w:rsidRPr="00167A82">
        <w:rPr>
          <w:rFonts w:cstheme="minorHAnsi"/>
          <w:color w:val="000000" w:themeColor="text1"/>
        </w:rPr>
        <w:t>Faculty are encouraged to enter activities in real-time so that approvals (for Category I activity or exceeding the threshold) are received prior to engaging in the activity.</w:t>
      </w:r>
      <w:r w:rsidR="00C37F3C" w:rsidRPr="00167A82">
        <w:rPr>
          <w:rFonts w:cstheme="minorHAnsi"/>
          <w:color w:val="000000" w:themeColor="text1"/>
        </w:rPr>
        <w:t xml:space="preserve"> </w:t>
      </w:r>
      <w:r w:rsidR="00C37F3C" w:rsidRPr="00167A82">
        <w:rPr>
          <w:rFonts w:cstheme="minorHAnsi"/>
          <w:color w:val="000000" w:themeColor="text1"/>
          <w:highlight w:val="yellow"/>
        </w:rPr>
        <w:t>Action</w:t>
      </w:r>
      <w:r w:rsidR="00C37F3C" w:rsidRPr="00167A82">
        <w:rPr>
          <w:rFonts w:cstheme="minorHAnsi"/>
          <w:color w:val="000000" w:themeColor="text1"/>
        </w:rPr>
        <w:t xml:space="preserve">: </w:t>
      </w:r>
      <w:r w:rsidR="001E21BC" w:rsidRPr="00167A82">
        <w:rPr>
          <w:rFonts w:cstheme="minorHAnsi"/>
          <w:color w:val="000000" w:themeColor="text1"/>
        </w:rPr>
        <w:t xml:space="preserve">Create </w:t>
      </w:r>
      <w:r w:rsidR="00C37F3C" w:rsidRPr="00167A82">
        <w:rPr>
          <w:rFonts w:cstheme="minorHAnsi"/>
          <w:color w:val="000000" w:themeColor="text1"/>
        </w:rPr>
        <w:t xml:space="preserve">FAQ to lead faculty through </w:t>
      </w:r>
      <w:r w:rsidR="00B307A2" w:rsidRPr="00167A82">
        <w:rPr>
          <w:rFonts w:cstheme="minorHAnsi"/>
          <w:color w:val="000000" w:themeColor="text1"/>
        </w:rPr>
        <w:t xml:space="preserve">the </w:t>
      </w:r>
      <w:r w:rsidR="00C37F3C" w:rsidRPr="00167A82">
        <w:rPr>
          <w:rFonts w:cstheme="minorHAnsi"/>
          <w:color w:val="000000" w:themeColor="text1"/>
        </w:rPr>
        <w:t xml:space="preserve">reporting </w:t>
      </w:r>
      <w:r w:rsidR="00B307A2" w:rsidRPr="00167A82">
        <w:rPr>
          <w:rFonts w:cstheme="minorHAnsi"/>
          <w:color w:val="000000" w:themeColor="text1"/>
        </w:rPr>
        <w:t>process in OATS.</w:t>
      </w:r>
    </w:p>
    <w:p w14:paraId="24793656" w14:textId="77777777" w:rsidR="00AE507B" w:rsidRPr="00167A82" w:rsidRDefault="00AE507B" w:rsidP="00637563">
      <w:pPr>
        <w:ind w:left="720"/>
        <w:contextualSpacing/>
        <w:rPr>
          <w:rFonts w:cstheme="minorHAnsi"/>
          <w:color w:val="000000" w:themeColor="text1"/>
        </w:rPr>
      </w:pPr>
    </w:p>
    <w:p w14:paraId="592645CD" w14:textId="77777777" w:rsidR="0002384D" w:rsidRPr="0006692E" w:rsidRDefault="009E51A2" w:rsidP="00B86EBE">
      <w:pPr>
        <w:pStyle w:val="ListParagraph"/>
        <w:ind w:hanging="360"/>
        <w:rPr>
          <w:rFonts w:ascii="Tw Cen MT" w:hAnsi="Tw Cen MT"/>
          <w:b/>
          <w:color w:val="215868"/>
        </w:rPr>
      </w:pPr>
      <w:r>
        <w:rPr>
          <w:rFonts w:ascii="Tw Cen MT" w:hAnsi="Tw Cen MT"/>
          <w:b/>
          <w:color w:val="215868"/>
        </w:rPr>
        <w:t xml:space="preserve">5. </w:t>
      </w:r>
      <w:r w:rsidR="003E275F">
        <w:rPr>
          <w:rFonts w:ascii="Tw Cen MT" w:hAnsi="Tw Cen MT"/>
          <w:b/>
          <w:color w:val="215868"/>
        </w:rPr>
        <w:t>C</w:t>
      </w:r>
      <w:r w:rsidR="00761CAF">
        <w:rPr>
          <w:rFonts w:ascii="Tw Cen MT" w:hAnsi="Tw Cen MT"/>
          <w:b/>
          <w:color w:val="215868"/>
        </w:rPr>
        <w:t>ompensation Plan Updates</w:t>
      </w:r>
    </w:p>
    <w:p w14:paraId="2C50AB08" w14:textId="77777777" w:rsidR="00B54BC4" w:rsidRDefault="00C66102" w:rsidP="00B26329">
      <w:pPr>
        <w:ind w:left="720"/>
      </w:pPr>
      <w:r w:rsidRPr="00DF3ECA">
        <w:t xml:space="preserve">On November 5, 2018, the Committee voted in favor of two clarifications to the Compensation Plan regarding Childbearing Leave and Childrearing Leave. The Chairs of each Department were given the opportunity to review and comment on these changes. The </w:t>
      </w:r>
      <w:r w:rsidR="00B26329" w:rsidRPr="00DF3ECA">
        <w:t>Chairs each provided support without comment. On May 9, 2019, t</w:t>
      </w:r>
      <w:r w:rsidR="0067302A">
        <w:t xml:space="preserve">he Committee voted unanimously to present the </w:t>
      </w:r>
      <w:r w:rsidR="00B26329">
        <w:t>proposed</w:t>
      </w:r>
      <w:r w:rsidR="0067302A">
        <w:t xml:space="preserve"> </w:t>
      </w:r>
      <w:r>
        <w:lastRenderedPageBreak/>
        <w:t>language</w:t>
      </w:r>
      <w:r w:rsidR="0067302A">
        <w:t xml:space="preserve"> </w:t>
      </w:r>
      <w:r w:rsidR="00CD349D">
        <w:t xml:space="preserve">(handout #3) </w:t>
      </w:r>
      <w:r w:rsidR="0067302A">
        <w:t>to Dean Guglielmo</w:t>
      </w:r>
      <w:r>
        <w:t xml:space="preserve"> for approval</w:t>
      </w:r>
      <w:r w:rsidR="00D60849">
        <w:t xml:space="preserve">. </w:t>
      </w:r>
      <w:r w:rsidR="00D60849" w:rsidRPr="00554714">
        <w:rPr>
          <w:highlight w:val="yellow"/>
        </w:rPr>
        <w:t>Action</w:t>
      </w:r>
      <w:r w:rsidR="00D60849">
        <w:t xml:space="preserve">: The </w:t>
      </w:r>
      <w:r w:rsidR="0067302A">
        <w:t xml:space="preserve">Compensation Plan will be </w:t>
      </w:r>
      <w:r w:rsidR="00B26329">
        <w:t xml:space="preserve">updated and </w:t>
      </w:r>
      <w:r w:rsidR="0067302A">
        <w:t xml:space="preserve">sent to </w:t>
      </w:r>
      <w:r w:rsidR="00045618">
        <w:t>Dean</w:t>
      </w:r>
      <w:r w:rsidR="00B26329">
        <w:t xml:space="preserve"> Guglielmo</w:t>
      </w:r>
      <w:r>
        <w:t xml:space="preserve">, requesting </w:t>
      </w:r>
      <w:r w:rsidR="0067302A">
        <w:t>approval</w:t>
      </w:r>
      <w:r>
        <w:t xml:space="preserve"> in time for July 1, 2019 implementation.</w:t>
      </w:r>
      <w:r w:rsidR="00B26329">
        <w:t xml:space="preserve"> </w:t>
      </w:r>
    </w:p>
    <w:p w14:paraId="2DBE186A" w14:textId="77777777" w:rsidR="00B54BC4" w:rsidRDefault="00B54BC4" w:rsidP="00B26329">
      <w:pPr>
        <w:ind w:left="720"/>
      </w:pPr>
    </w:p>
    <w:p w14:paraId="70BB716C" w14:textId="77777777" w:rsidR="0056207D" w:rsidRPr="00AE507B" w:rsidRDefault="00B26329" w:rsidP="00B26329">
      <w:pPr>
        <w:ind w:left="720"/>
      </w:pPr>
      <w:r>
        <w:t>There was additional consideration towards the usage of Childrearing Leave and whether or not Pharmacy had a need to further define usage. For example, two 6-week leaves or one 12-week leave. It appears there isn’t a need to define leave usage at the moment, but it may be a consideration for the future.</w:t>
      </w:r>
    </w:p>
    <w:p w14:paraId="61FB310C" w14:textId="77777777" w:rsidR="001303CC" w:rsidRDefault="001303CC" w:rsidP="0056207D">
      <w:pPr>
        <w:pStyle w:val="PlainText"/>
        <w:ind w:left="720"/>
      </w:pPr>
    </w:p>
    <w:p w14:paraId="7C957A17" w14:textId="77777777" w:rsidR="001303CC" w:rsidRPr="00ED7B66" w:rsidRDefault="001303CC" w:rsidP="001303CC">
      <w:pPr>
        <w:pStyle w:val="xmsonormal"/>
        <w:ind w:left="720" w:hanging="360"/>
        <w:rPr>
          <w:rFonts w:ascii="Tw Cen MT" w:eastAsia="Times New Roman" w:hAnsi="Tw Cen MT"/>
          <w:b/>
          <w:color w:val="215868"/>
          <w:sz w:val="22"/>
          <w:szCs w:val="22"/>
        </w:rPr>
      </w:pPr>
      <w:r w:rsidRPr="00ED7B66">
        <w:rPr>
          <w:rFonts w:ascii="Tw Cen MT" w:eastAsia="Times New Roman" w:hAnsi="Tw Cen MT"/>
          <w:b/>
          <w:color w:val="215868"/>
          <w:sz w:val="22"/>
          <w:szCs w:val="22"/>
        </w:rPr>
        <w:t>6. </w:t>
      </w:r>
      <w:r w:rsidRPr="00ED7B66">
        <w:rPr>
          <w:rFonts w:ascii="Tw Cen MT" w:eastAsia="Times New Roman" w:hAnsi="Tw Cen MT"/>
          <w:b/>
          <w:color w:val="215868"/>
          <w:sz w:val="22"/>
          <w:szCs w:val="22"/>
        </w:rPr>
        <w:tab/>
        <w:t xml:space="preserve">Faculty Salary Equity </w:t>
      </w:r>
      <w:r w:rsidR="00CC14D7" w:rsidRPr="00ED7B66">
        <w:rPr>
          <w:rFonts w:ascii="Tw Cen MT" w:eastAsia="Times New Roman" w:hAnsi="Tw Cen MT"/>
          <w:b/>
          <w:color w:val="215868"/>
          <w:sz w:val="22"/>
          <w:szCs w:val="22"/>
        </w:rPr>
        <w:t>Results</w:t>
      </w:r>
    </w:p>
    <w:p w14:paraId="0D79B14E" w14:textId="0D75B690" w:rsidR="00CD349D" w:rsidRDefault="00CD349D" w:rsidP="00E1027E">
      <w:pPr>
        <w:pStyle w:val="PlainText"/>
        <w:ind w:left="720"/>
      </w:pPr>
      <w:r>
        <w:t xml:space="preserve">The FSER Summary Report (handout #4) is a coversheet that summarizes the findings for </w:t>
      </w:r>
      <w:r w:rsidR="00360387">
        <w:t>FY 2019 or 2018-19</w:t>
      </w:r>
      <w:r w:rsidR="009E2F8E">
        <w:t xml:space="preserve">. The Full report can be found on the </w:t>
      </w:r>
      <w:r>
        <w:t>Academic Affairs website</w:t>
      </w:r>
      <w:r w:rsidR="00EF38E9">
        <w:t xml:space="preserve">: </w:t>
      </w:r>
      <w:hyperlink r:id="rId9" w:history="1">
        <w:r w:rsidR="00EF38E9">
          <w:rPr>
            <w:rStyle w:val="Hyperlink"/>
          </w:rPr>
          <w:t>https://academicaffairs.ucsf.edu/academic-personnel/other/fser/fser.php</w:t>
        </w:r>
      </w:hyperlink>
      <w:r>
        <w:t xml:space="preserve">. </w:t>
      </w:r>
    </w:p>
    <w:p w14:paraId="1093B503" w14:textId="77777777" w:rsidR="009E2F8E" w:rsidRDefault="009E2F8E" w:rsidP="00E1027E">
      <w:pPr>
        <w:pStyle w:val="PlainText"/>
        <w:ind w:left="720"/>
      </w:pPr>
    </w:p>
    <w:p w14:paraId="0D93E5FF" w14:textId="616D5B4E" w:rsidR="009E2F8E" w:rsidRPr="009E2F8E" w:rsidRDefault="00360387" w:rsidP="009E2F8E">
      <w:pPr>
        <w:pStyle w:val="PlainText"/>
        <w:ind w:left="720"/>
      </w:pPr>
      <w:r>
        <w:t xml:space="preserve">Associate Dean Kearney </w:t>
      </w:r>
      <w:r w:rsidR="009E2F8E">
        <w:t xml:space="preserve">presented the background, methodology, </w:t>
      </w:r>
      <w:r w:rsidR="008C2730">
        <w:t xml:space="preserve">and </w:t>
      </w:r>
      <w:r w:rsidR="009E2F8E">
        <w:t xml:space="preserve">findings by department and </w:t>
      </w:r>
      <w:proofErr w:type="gramStart"/>
      <w:r w:rsidR="009E2F8E">
        <w:t>school-wide</w:t>
      </w:r>
      <w:proofErr w:type="gramEnd"/>
      <w:r w:rsidR="009E2F8E">
        <w:t xml:space="preserve">. </w:t>
      </w:r>
      <w:r w:rsidR="002126B0">
        <w:t xml:space="preserve">The </w:t>
      </w:r>
      <w:r>
        <w:t xml:space="preserve">Department </w:t>
      </w:r>
      <w:r w:rsidR="009E2F8E">
        <w:t>Chairs provided rationale towards the</w:t>
      </w:r>
      <w:r w:rsidR="008C2730">
        <w:t xml:space="preserve"> imbala</w:t>
      </w:r>
      <w:r w:rsidR="009E2F8E">
        <w:t xml:space="preserve">nces that </w:t>
      </w:r>
      <w:r>
        <w:t xml:space="preserve">were </w:t>
      </w:r>
      <w:r w:rsidR="009E2F8E">
        <w:t xml:space="preserve">identified through </w:t>
      </w:r>
      <w:r>
        <w:t xml:space="preserve">a </w:t>
      </w:r>
      <w:r w:rsidR="009E2F8E">
        <w:t>matched pair analysis. In conclusion</w:t>
      </w:r>
      <w:r w:rsidR="002126B0">
        <w:t>,</w:t>
      </w:r>
      <w:r w:rsidR="009E2F8E">
        <w:t xml:space="preserve"> the i</w:t>
      </w:r>
      <w:r w:rsidR="009E2F8E" w:rsidRPr="002126B0">
        <w:t>mbalances were explainable.</w:t>
      </w:r>
      <w:r w:rsidR="008C2730" w:rsidRPr="002126B0">
        <w:t xml:space="preserve"> High and low outliers were identified and justified.</w:t>
      </w:r>
      <w:r w:rsidR="009E2F8E" w:rsidRPr="002126B0">
        <w:t xml:space="preserve"> </w:t>
      </w:r>
      <w:r>
        <w:t>Associate Dean Kearney</w:t>
      </w:r>
      <w:r w:rsidRPr="002126B0">
        <w:t xml:space="preserve"> </w:t>
      </w:r>
      <w:r w:rsidR="009E2F8E" w:rsidRPr="002126B0">
        <w:t xml:space="preserve">highlighted the </w:t>
      </w:r>
      <w:r w:rsidR="00B36F30">
        <w:t xml:space="preserve">different </w:t>
      </w:r>
      <w:r w:rsidR="009E2F8E" w:rsidRPr="002126B0">
        <w:t xml:space="preserve">salary trajectories </w:t>
      </w:r>
      <w:r w:rsidR="00B36F30">
        <w:t>for</w:t>
      </w:r>
      <w:r w:rsidR="009E2F8E" w:rsidRPr="002126B0">
        <w:t xml:space="preserve"> clinical and </w:t>
      </w:r>
      <w:proofErr w:type="gramStart"/>
      <w:r w:rsidR="009E2F8E" w:rsidRPr="002126B0">
        <w:t>research based</w:t>
      </w:r>
      <w:proofErr w:type="gramEnd"/>
      <w:r w:rsidR="009E2F8E" w:rsidRPr="002126B0">
        <w:t xml:space="preserve"> faculty, and the need to be evaluated separately. </w:t>
      </w:r>
      <w:r w:rsidR="008C2730" w:rsidRPr="002126B0">
        <w:t>There is an ongoing need for each Department to employ transparent and well-reasoned processes for determining the negotiable Y component of faculty salaries.</w:t>
      </w:r>
    </w:p>
    <w:p w14:paraId="7DEB1A0F" w14:textId="77777777" w:rsidR="009E2F8E" w:rsidRDefault="009E2F8E" w:rsidP="00E1027E">
      <w:pPr>
        <w:pStyle w:val="PlainText"/>
        <w:ind w:left="720"/>
      </w:pPr>
    </w:p>
    <w:p w14:paraId="3F53BB05" w14:textId="77777777" w:rsidR="008C2730" w:rsidRDefault="008C2730" w:rsidP="008C2730">
      <w:pPr>
        <w:pStyle w:val="PlainText"/>
        <w:ind w:left="720" w:hanging="360"/>
        <w:rPr>
          <w:color w:val="000000" w:themeColor="text1"/>
        </w:rPr>
      </w:pPr>
      <w:r>
        <w:rPr>
          <w:rFonts w:ascii="Tw Cen MT" w:eastAsia="Times New Roman" w:hAnsi="Tw Cen MT"/>
          <w:b/>
          <w:color w:val="215868"/>
          <w:szCs w:val="22"/>
        </w:rPr>
        <w:t>7</w:t>
      </w:r>
      <w:r w:rsidRPr="00ED7B66">
        <w:rPr>
          <w:rFonts w:ascii="Tw Cen MT" w:eastAsia="Times New Roman" w:hAnsi="Tw Cen MT"/>
          <w:b/>
          <w:color w:val="215868"/>
          <w:szCs w:val="22"/>
        </w:rPr>
        <w:t>. </w:t>
      </w:r>
      <w:r w:rsidRPr="00ED7B66">
        <w:rPr>
          <w:rFonts w:ascii="Tw Cen MT" w:eastAsia="Times New Roman" w:hAnsi="Tw Cen MT"/>
          <w:b/>
          <w:color w:val="215868"/>
          <w:szCs w:val="22"/>
        </w:rPr>
        <w:tab/>
      </w:r>
      <w:r>
        <w:rPr>
          <w:rFonts w:ascii="Tw Cen MT" w:eastAsia="Times New Roman" w:hAnsi="Tw Cen MT"/>
          <w:b/>
          <w:color w:val="215868"/>
          <w:szCs w:val="22"/>
        </w:rPr>
        <w:t>UCOP’s 2019-20 Salary P</w:t>
      </w:r>
      <w:r w:rsidRPr="008C2730">
        <w:rPr>
          <w:rFonts w:ascii="Tw Cen MT" w:eastAsia="Times New Roman" w:hAnsi="Tw Cen MT"/>
          <w:b/>
          <w:color w:val="215868"/>
          <w:szCs w:val="22"/>
        </w:rPr>
        <w:t>rogram</w:t>
      </w:r>
      <w:r>
        <w:rPr>
          <w:color w:val="000000" w:themeColor="text1"/>
        </w:rPr>
        <w:t xml:space="preserve"> </w:t>
      </w:r>
    </w:p>
    <w:p w14:paraId="0A3A752D" w14:textId="77777777" w:rsidR="008C2730" w:rsidRPr="00BD7ED0" w:rsidRDefault="002069D7" w:rsidP="00FF0107">
      <w:pPr>
        <w:pStyle w:val="PlainText"/>
        <w:ind w:left="720"/>
      </w:pPr>
      <w:r w:rsidRPr="00BD7ED0">
        <w:t xml:space="preserve">2019-20 marks the second year of a 3-year program to reduce the salary gap with peer institutions. </w:t>
      </w:r>
      <w:r w:rsidR="008C2730" w:rsidRPr="00BD7ED0">
        <w:t xml:space="preserve">The amount of the increase is unknown at this moment. The Dean’s office </w:t>
      </w:r>
      <w:r w:rsidR="00BD7ED0" w:rsidRPr="00BD7ED0">
        <w:t xml:space="preserve">will fund </w:t>
      </w:r>
      <w:r w:rsidR="008C2730" w:rsidRPr="00BD7ED0">
        <w:t>the salary increases of faculty with no or insufficient Y to avoid unexpected costs to Departments.</w:t>
      </w:r>
      <w:r w:rsidR="00FF0107" w:rsidRPr="00BD7ED0">
        <w:t xml:space="preserve"> </w:t>
      </w:r>
    </w:p>
    <w:p w14:paraId="7FAE0853" w14:textId="77777777" w:rsidR="008C2730" w:rsidRDefault="008C2730" w:rsidP="00E1027E">
      <w:pPr>
        <w:pStyle w:val="PlainText"/>
        <w:ind w:left="720"/>
      </w:pPr>
    </w:p>
    <w:p w14:paraId="52825535" w14:textId="7EB3DEFE" w:rsidR="00CD349D" w:rsidRPr="00BD7ED0" w:rsidRDefault="00FF0107" w:rsidP="00C33C83">
      <w:pPr>
        <w:pStyle w:val="PlainText"/>
        <w:ind w:left="720"/>
      </w:pPr>
      <w:r>
        <w:t>At the School level, the Dean’s Office is</w:t>
      </w:r>
      <w:r w:rsidR="00CD349D">
        <w:t xml:space="preserve"> </w:t>
      </w:r>
      <w:r w:rsidR="00360387">
        <w:t xml:space="preserve">planning to </w:t>
      </w:r>
      <w:proofErr w:type="gramStart"/>
      <w:r w:rsidR="00360387">
        <w:t xml:space="preserve">evaluate </w:t>
      </w:r>
      <w:r w:rsidR="00CD349D">
        <w:t xml:space="preserve"> </w:t>
      </w:r>
      <w:r>
        <w:t>the</w:t>
      </w:r>
      <w:proofErr w:type="gramEnd"/>
      <w:r>
        <w:t xml:space="preserve"> </w:t>
      </w:r>
      <w:r w:rsidR="00C33C83">
        <w:t>las</w:t>
      </w:r>
      <w:r w:rsidR="00B36F30">
        <w:t>t</w:t>
      </w:r>
      <w:r w:rsidR="00CD349D">
        <w:t xml:space="preserve"> 5 fiscal years </w:t>
      </w:r>
      <w:r w:rsidRPr="00BD7ED0">
        <w:t xml:space="preserve">to estimate the financial impact </w:t>
      </w:r>
      <w:r w:rsidR="00C33C83">
        <w:t>of increasing the HSCP scales on sources of funding for faculty</w:t>
      </w:r>
      <w:r w:rsidR="00C33C83" w:rsidRPr="00BD7ED0">
        <w:t xml:space="preserve">, </w:t>
      </w:r>
      <w:r w:rsidRPr="00BD7ED0">
        <w:t xml:space="preserve">due to the unfunded mandate. </w:t>
      </w:r>
      <w:r w:rsidR="00C33C83" w:rsidRPr="00BD7ED0">
        <w:t xml:space="preserve">The analysis will illustrate </w:t>
      </w:r>
      <w:r w:rsidR="001D10F7">
        <w:t>if</w:t>
      </w:r>
      <w:r w:rsidR="001D10F7" w:rsidRPr="00BD7ED0">
        <w:t xml:space="preserve"> </w:t>
      </w:r>
      <w:r w:rsidR="00B36F30">
        <w:t>increasing</w:t>
      </w:r>
      <w:r w:rsidR="004261C5">
        <w:t xml:space="preserve"> the faculty salary scales </w:t>
      </w:r>
      <w:r w:rsidR="001D10F7">
        <w:t>without</w:t>
      </w:r>
      <w:r w:rsidR="004261C5">
        <w:t xml:space="preserve"> providing any funding or adjustmen</w:t>
      </w:r>
      <w:r w:rsidR="00C33C83">
        <w:t>ts to support those new scales</w:t>
      </w:r>
      <w:r w:rsidR="001D10F7">
        <w:t>,</w:t>
      </w:r>
      <w:r w:rsidR="00C33C83">
        <w:t xml:space="preserve"> is </w:t>
      </w:r>
      <w:r w:rsidR="001D10F7">
        <w:t xml:space="preserve">financially </w:t>
      </w:r>
      <w:r w:rsidR="00C33C83">
        <w:t>sustainable</w:t>
      </w:r>
      <w:r w:rsidR="001D10F7">
        <w:t xml:space="preserve"> at the Department level</w:t>
      </w:r>
      <w:r w:rsidR="00C33C83">
        <w:t>.</w:t>
      </w:r>
    </w:p>
    <w:p w14:paraId="6D0BB23C" w14:textId="77777777" w:rsidR="0044111F" w:rsidRDefault="0044111F" w:rsidP="009E496C">
      <w:pPr>
        <w:pStyle w:val="PlainText"/>
        <w:ind w:left="720"/>
      </w:pPr>
    </w:p>
    <w:p w14:paraId="74C19BC8" w14:textId="77777777" w:rsidR="00BE37AE" w:rsidRPr="0006692E" w:rsidRDefault="008C2730" w:rsidP="00BE37AE">
      <w:pPr>
        <w:pStyle w:val="ListParagraph"/>
        <w:ind w:hanging="360"/>
        <w:rPr>
          <w:rFonts w:ascii="Tw Cen MT" w:hAnsi="Tw Cen MT"/>
          <w:b/>
          <w:color w:val="215868"/>
        </w:rPr>
      </w:pPr>
      <w:r>
        <w:rPr>
          <w:rFonts w:ascii="Tw Cen MT" w:hAnsi="Tw Cen MT"/>
          <w:b/>
          <w:color w:val="215868"/>
        </w:rPr>
        <w:t>8</w:t>
      </w:r>
      <w:r w:rsidR="00BE37AE" w:rsidRPr="0006692E">
        <w:rPr>
          <w:rFonts w:ascii="Tw Cen MT" w:hAnsi="Tw Cen MT"/>
          <w:b/>
          <w:color w:val="215868"/>
        </w:rPr>
        <w:t>.</w:t>
      </w:r>
      <w:r w:rsidR="00BE37AE" w:rsidRPr="0006692E">
        <w:rPr>
          <w:rFonts w:ascii="Times New Roman" w:hAnsi="Times New Roman"/>
          <w:b/>
          <w:color w:val="215868"/>
          <w:sz w:val="14"/>
          <w:szCs w:val="14"/>
        </w:rPr>
        <w:t xml:space="preserve">      </w:t>
      </w:r>
      <w:r w:rsidR="00BE37AE">
        <w:rPr>
          <w:rFonts w:ascii="Tw Cen MT" w:hAnsi="Tw Cen MT"/>
          <w:b/>
          <w:color w:val="215868"/>
        </w:rPr>
        <w:t>New/Old business/next meeting</w:t>
      </w:r>
      <w:r w:rsidR="00BE37AE" w:rsidRPr="0006692E">
        <w:rPr>
          <w:rFonts w:ascii="Tw Cen MT" w:hAnsi="Tw Cen MT"/>
          <w:b/>
          <w:color w:val="215868"/>
        </w:rPr>
        <w:t xml:space="preserve"> </w:t>
      </w:r>
    </w:p>
    <w:p w14:paraId="42824EC1" w14:textId="77777777" w:rsidR="0002384D" w:rsidRPr="0006692E" w:rsidRDefault="00BE37AE" w:rsidP="0002395E">
      <w:pPr>
        <w:ind w:left="720"/>
        <w:rPr>
          <w:rFonts w:ascii="Tw Cen MT" w:hAnsi="Tw Cen MT"/>
          <w:color w:val="215868"/>
        </w:rPr>
      </w:pPr>
      <w:r w:rsidRPr="00F87AFB">
        <w:t xml:space="preserve">The next meeting is to be determined for a date in </w:t>
      </w:r>
      <w:r w:rsidR="00FB68C3">
        <w:t>November</w:t>
      </w:r>
      <w:r w:rsidR="00370013">
        <w:t xml:space="preserve"> 2019</w:t>
      </w:r>
      <w:r w:rsidRPr="00F87AFB">
        <w:t xml:space="preserve">. </w:t>
      </w:r>
    </w:p>
    <w:sectPr w:rsidR="0002384D" w:rsidRPr="0006692E" w:rsidSect="00752A7A">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00F0" w14:textId="77777777" w:rsidR="000404E6" w:rsidRDefault="000404E6" w:rsidP="000D6984">
      <w:r>
        <w:separator/>
      </w:r>
    </w:p>
  </w:endnote>
  <w:endnote w:type="continuationSeparator" w:id="0">
    <w:p w14:paraId="0F8089DE" w14:textId="77777777" w:rsidR="000404E6" w:rsidRDefault="000404E6" w:rsidP="000D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604142"/>
      <w:docPartObj>
        <w:docPartGallery w:val="Page Numbers (Bottom of Page)"/>
        <w:docPartUnique/>
      </w:docPartObj>
    </w:sdtPr>
    <w:sdtEndPr>
      <w:rPr>
        <w:noProof/>
      </w:rPr>
    </w:sdtEndPr>
    <w:sdtContent>
      <w:p w14:paraId="2533DF45" w14:textId="70D09054" w:rsidR="000D6984" w:rsidRDefault="000D6984">
        <w:pPr>
          <w:pStyle w:val="Footer"/>
        </w:pPr>
        <w:r>
          <w:fldChar w:fldCharType="begin"/>
        </w:r>
        <w:r>
          <w:instrText xml:space="preserve"> PAGE   \* MERGEFORMAT </w:instrText>
        </w:r>
        <w:r>
          <w:fldChar w:fldCharType="separate"/>
        </w:r>
        <w:r w:rsidR="00367FBA">
          <w:rPr>
            <w:noProof/>
          </w:rPr>
          <w:t>2</w:t>
        </w:r>
        <w:r>
          <w:rPr>
            <w:noProof/>
          </w:rPr>
          <w:fldChar w:fldCharType="end"/>
        </w:r>
      </w:p>
    </w:sdtContent>
  </w:sdt>
  <w:p w14:paraId="52092B4A" w14:textId="77777777" w:rsidR="000D6984" w:rsidRDefault="000D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146E" w14:textId="77777777" w:rsidR="000404E6" w:rsidRDefault="000404E6" w:rsidP="000D6984">
      <w:r>
        <w:separator/>
      </w:r>
    </w:p>
  </w:footnote>
  <w:footnote w:type="continuationSeparator" w:id="0">
    <w:p w14:paraId="197F4BB1" w14:textId="77777777" w:rsidR="000404E6" w:rsidRDefault="000404E6" w:rsidP="000D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B51"/>
    <w:multiLevelType w:val="hybridMultilevel"/>
    <w:tmpl w:val="09488732"/>
    <w:lvl w:ilvl="0" w:tplc="18E8C168">
      <w:start w:val="1"/>
      <w:numFmt w:val="bullet"/>
      <w:lvlText w:val="•"/>
      <w:lvlJc w:val="left"/>
      <w:pPr>
        <w:tabs>
          <w:tab w:val="num" w:pos="720"/>
        </w:tabs>
        <w:ind w:left="720" w:hanging="360"/>
      </w:pPr>
      <w:rPr>
        <w:rFonts w:ascii="Arial" w:hAnsi="Arial" w:hint="default"/>
      </w:rPr>
    </w:lvl>
    <w:lvl w:ilvl="1" w:tplc="28861364" w:tentative="1">
      <w:start w:val="1"/>
      <w:numFmt w:val="bullet"/>
      <w:lvlText w:val="•"/>
      <w:lvlJc w:val="left"/>
      <w:pPr>
        <w:tabs>
          <w:tab w:val="num" w:pos="1440"/>
        </w:tabs>
        <w:ind w:left="1440" w:hanging="360"/>
      </w:pPr>
      <w:rPr>
        <w:rFonts w:ascii="Arial" w:hAnsi="Arial" w:hint="default"/>
      </w:rPr>
    </w:lvl>
    <w:lvl w:ilvl="2" w:tplc="45A8CB54" w:tentative="1">
      <w:start w:val="1"/>
      <w:numFmt w:val="bullet"/>
      <w:lvlText w:val="•"/>
      <w:lvlJc w:val="left"/>
      <w:pPr>
        <w:tabs>
          <w:tab w:val="num" w:pos="2160"/>
        </w:tabs>
        <w:ind w:left="2160" w:hanging="360"/>
      </w:pPr>
      <w:rPr>
        <w:rFonts w:ascii="Arial" w:hAnsi="Arial" w:hint="default"/>
      </w:rPr>
    </w:lvl>
    <w:lvl w:ilvl="3" w:tplc="D1F2D604" w:tentative="1">
      <w:start w:val="1"/>
      <w:numFmt w:val="bullet"/>
      <w:lvlText w:val="•"/>
      <w:lvlJc w:val="left"/>
      <w:pPr>
        <w:tabs>
          <w:tab w:val="num" w:pos="2880"/>
        </w:tabs>
        <w:ind w:left="2880" w:hanging="360"/>
      </w:pPr>
      <w:rPr>
        <w:rFonts w:ascii="Arial" w:hAnsi="Arial" w:hint="default"/>
      </w:rPr>
    </w:lvl>
    <w:lvl w:ilvl="4" w:tplc="06D6BE30" w:tentative="1">
      <w:start w:val="1"/>
      <w:numFmt w:val="bullet"/>
      <w:lvlText w:val="•"/>
      <w:lvlJc w:val="left"/>
      <w:pPr>
        <w:tabs>
          <w:tab w:val="num" w:pos="3600"/>
        </w:tabs>
        <w:ind w:left="3600" w:hanging="360"/>
      </w:pPr>
      <w:rPr>
        <w:rFonts w:ascii="Arial" w:hAnsi="Arial" w:hint="default"/>
      </w:rPr>
    </w:lvl>
    <w:lvl w:ilvl="5" w:tplc="CE2C01DC" w:tentative="1">
      <w:start w:val="1"/>
      <w:numFmt w:val="bullet"/>
      <w:lvlText w:val="•"/>
      <w:lvlJc w:val="left"/>
      <w:pPr>
        <w:tabs>
          <w:tab w:val="num" w:pos="4320"/>
        </w:tabs>
        <w:ind w:left="4320" w:hanging="360"/>
      </w:pPr>
      <w:rPr>
        <w:rFonts w:ascii="Arial" w:hAnsi="Arial" w:hint="default"/>
      </w:rPr>
    </w:lvl>
    <w:lvl w:ilvl="6" w:tplc="C7CC7C9C" w:tentative="1">
      <w:start w:val="1"/>
      <w:numFmt w:val="bullet"/>
      <w:lvlText w:val="•"/>
      <w:lvlJc w:val="left"/>
      <w:pPr>
        <w:tabs>
          <w:tab w:val="num" w:pos="5040"/>
        </w:tabs>
        <w:ind w:left="5040" w:hanging="360"/>
      </w:pPr>
      <w:rPr>
        <w:rFonts w:ascii="Arial" w:hAnsi="Arial" w:hint="default"/>
      </w:rPr>
    </w:lvl>
    <w:lvl w:ilvl="7" w:tplc="D0BE9CC4" w:tentative="1">
      <w:start w:val="1"/>
      <w:numFmt w:val="bullet"/>
      <w:lvlText w:val="•"/>
      <w:lvlJc w:val="left"/>
      <w:pPr>
        <w:tabs>
          <w:tab w:val="num" w:pos="5760"/>
        </w:tabs>
        <w:ind w:left="5760" w:hanging="360"/>
      </w:pPr>
      <w:rPr>
        <w:rFonts w:ascii="Arial" w:hAnsi="Arial" w:hint="default"/>
      </w:rPr>
    </w:lvl>
    <w:lvl w:ilvl="8" w:tplc="A13021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32736E"/>
    <w:multiLevelType w:val="singleLevel"/>
    <w:tmpl w:val="8B3C09EC"/>
    <w:lvl w:ilvl="0">
      <w:start w:val="1"/>
      <w:numFmt w:val="bullet"/>
      <w:pStyle w:val="FootnoteText"/>
      <w:lvlText w:val=""/>
      <w:lvlJc w:val="left"/>
      <w:pPr>
        <w:tabs>
          <w:tab w:val="num" w:pos="360"/>
        </w:tabs>
        <w:ind w:left="360" w:hanging="360"/>
      </w:pPr>
      <w:rPr>
        <w:rFonts w:ascii="Symbol" w:hAnsi="Symbol" w:hint="default"/>
      </w:rPr>
    </w:lvl>
  </w:abstractNum>
  <w:abstractNum w:abstractNumId="2" w15:restartNumberingAfterBreak="0">
    <w:nsid w:val="195E6A2D"/>
    <w:multiLevelType w:val="hybridMultilevel"/>
    <w:tmpl w:val="008E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D02389"/>
    <w:multiLevelType w:val="hybridMultilevel"/>
    <w:tmpl w:val="EE24A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366B91"/>
    <w:multiLevelType w:val="hybridMultilevel"/>
    <w:tmpl w:val="E4A42D58"/>
    <w:lvl w:ilvl="0" w:tplc="D32841EC">
      <w:start w:val="1"/>
      <w:numFmt w:val="bullet"/>
      <w:lvlText w:val="•"/>
      <w:lvlJc w:val="left"/>
      <w:pPr>
        <w:tabs>
          <w:tab w:val="num" w:pos="720"/>
        </w:tabs>
        <w:ind w:left="720" w:hanging="360"/>
      </w:pPr>
      <w:rPr>
        <w:rFonts w:ascii="Arial" w:hAnsi="Arial" w:hint="default"/>
      </w:rPr>
    </w:lvl>
    <w:lvl w:ilvl="1" w:tplc="6C820EFE" w:tentative="1">
      <w:start w:val="1"/>
      <w:numFmt w:val="bullet"/>
      <w:lvlText w:val="•"/>
      <w:lvlJc w:val="left"/>
      <w:pPr>
        <w:tabs>
          <w:tab w:val="num" w:pos="1440"/>
        </w:tabs>
        <w:ind w:left="1440" w:hanging="360"/>
      </w:pPr>
      <w:rPr>
        <w:rFonts w:ascii="Arial" w:hAnsi="Arial" w:hint="default"/>
      </w:rPr>
    </w:lvl>
    <w:lvl w:ilvl="2" w:tplc="7F264F50" w:tentative="1">
      <w:start w:val="1"/>
      <w:numFmt w:val="bullet"/>
      <w:lvlText w:val="•"/>
      <w:lvlJc w:val="left"/>
      <w:pPr>
        <w:tabs>
          <w:tab w:val="num" w:pos="2160"/>
        </w:tabs>
        <w:ind w:left="2160" w:hanging="360"/>
      </w:pPr>
      <w:rPr>
        <w:rFonts w:ascii="Arial" w:hAnsi="Arial" w:hint="default"/>
      </w:rPr>
    </w:lvl>
    <w:lvl w:ilvl="3" w:tplc="3FD4239A" w:tentative="1">
      <w:start w:val="1"/>
      <w:numFmt w:val="bullet"/>
      <w:lvlText w:val="•"/>
      <w:lvlJc w:val="left"/>
      <w:pPr>
        <w:tabs>
          <w:tab w:val="num" w:pos="2880"/>
        </w:tabs>
        <w:ind w:left="2880" w:hanging="360"/>
      </w:pPr>
      <w:rPr>
        <w:rFonts w:ascii="Arial" w:hAnsi="Arial" w:hint="default"/>
      </w:rPr>
    </w:lvl>
    <w:lvl w:ilvl="4" w:tplc="51B61CB0" w:tentative="1">
      <w:start w:val="1"/>
      <w:numFmt w:val="bullet"/>
      <w:lvlText w:val="•"/>
      <w:lvlJc w:val="left"/>
      <w:pPr>
        <w:tabs>
          <w:tab w:val="num" w:pos="3600"/>
        </w:tabs>
        <w:ind w:left="3600" w:hanging="360"/>
      </w:pPr>
      <w:rPr>
        <w:rFonts w:ascii="Arial" w:hAnsi="Arial" w:hint="default"/>
      </w:rPr>
    </w:lvl>
    <w:lvl w:ilvl="5" w:tplc="EC7CF486" w:tentative="1">
      <w:start w:val="1"/>
      <w:numFmt w:val="bullet"/>
      <w:lvlText w:val="•"/>
      <w:lvlJc w:val="left"/>
      <w:pPr>
        <w:tabs>
          <w:tab w:val="num" w:pos="4320"/>
        </w:tabs>
        <w:ind w:left="4320" w:hanging="360"/>
      </w:pPr>
      <w:rPr>
        <w:rFonts w:ascii="Arial" w:hAnsi="Arial" w:hint="default"/>
      </w:rPr>
    </w:lvl>
    <w:lvl w:ilvl="6" w:tplc="6734D320" w:tentative="1">
      <w:start w:val="1"/>
      <w:numFmt w:val="bullet"/>
      <w:lvlText w:val="•"/>
      <w:lvlJc w:val="left"/>
      <w:pPr>
        <w:tabs>
          <w:tab w:val="num" w:pos="5040"/>
        </w:tabs>
        <w:ind w:left="5040" w:hanging="360"/>
      </w:pPr>
      <w:rPr>
        <w:rFonts w:ascii="Arial" w:hAnsi="Arial" w:hint="default"/>
      </w:rPr>
    </w:lvl>
    <w:lvl w:ilvl="7" w:tplc="0C8E0046" w:tentative="1">
      <w:start w:val="1"/>
      <w:numFmt w:val="bullet"/>
      <w:lvlText w:val="•"/>
      <w:lvlJc w:val="left"/>
      <w:pPr>
        <w:tabs>
          <w:tab w:val="num" w:pos="5760"/>
        </w:tabs>
        <w:ind w:left="5760" w:hanging="360"/>
      </w:pPr>
      <w:rPr>
        <w:rFonts w:ascii="Arial" w:hAnsi="Arial" w:hint="default"/>
      </w:rPr>
    </w:lvl>
    <w:lvl w:ilvl="8" w:tplc="E1AE83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27140C"/>
    <w:multiLevelType w:val="hybridMultilevel"/>
    <w:tmpl w:val="68D0581A"/>
    <w:lvl w:ilvl="0" w:tplc="441402AE">
      <w:start w:val="1"/>
      <w:numFmt w:val="decimal"/>
      <w:lvlText w:val="%1."/>
      <w:lvlJc w:val="left"/>
      <w:pPr>
        <w:ind w:left="744" w:hanging="384"/>
      </w:pPr>
      <w:rPr>
        <w:rFonts w:ascii="Tw Cen MT" w:hAnsi="Tw Cen MT" w:hint="default"/>
        <w:b/>
        <w:color w:val="2158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017D7"/>
    <w:multiLevelType w:val="hybridMultilevel"/>
    <w:tmpl w:val="A6F2F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C64A0B"/>
    <w:multiLevelType w:val="hybridMultilevel"/>
    <w:tmpl w:val="83A8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CA787B"/>
    <w:multiLevelType w:val="hybridMultilevel"/>
    <w:tmpl w:val="B76E7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B7CAE"/>
    <w:multiLevelType w:val="hybridMultilevel"/>
    <w:tmpl w:val="44E44458"/>
    <w:lvl w:ilvl="0" w:tplc="2280EE94">
      <w:start w:val="1"/>
      <w:numFmt w:val="lowerLetter"/>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5"/>
  </w:num>
  <w:num w:numId="5">
    <w:abstractNumId w:val="0"/>
  </w:num>
  <w:num w:numId="6">
    <w:abstractNumId w:val="1"/>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wNjU1sDSwMDK0MDBT0lEKTi0uzszPAykwrgUAszxW8SwAAAA="/>
  </w:docVars>
  <w:rsids>
    <w:rsidRoot w:val="0002384D"/>
    <w:rsid w:val="0000787D"/>
    <w:rsid w:val="00015F47"/>
    <w:rsid w:val="0001748D"/>
    <w:rsid w:val="0002384D"/>
    <w:rsid w:val="0002395E"/>
    <w:rsid w:val="00033C93"/>
    <w:rsid w:val="000404E6"/>
    <w:rsid w:val="00045618"/>
    <w:rsid w:val="0005181F"/>
    <w:rsid w:val="000541A0"/>
    <w:rsid w:val="000626C9"/>
    <w:rsid w:val="0006692E"/>
    <w:rsid w:val="000824D3"/>
    <w:rsid w:val="000A171C"/>
    <w:rsid w:val="000A5419"/>
    <w:rsid w:val="000B3028"/>
    <w:rsid w:val="000B664E"/>
    <w:rsid w:val="000C191F"/>
    <w:rsid w:val="000C21E3"/>
    <w:rsid w:val="000D6984"/>
    <w:rsid w:val="000E1381"/>
    <w:rsid w:val="000E4E88"/>
    <w:rsid w:val="00104D08"/>
    <w:rsid w:val="001303CC"/>
    <w:rsid w:val="00145534"/>
    <w:rsid w:val="00147A55"/>
    <w:rsid w:val="00150586"/>
    <w:rsid w:val="001624FC"/>
    <w:rsid w:val="00167A82"/>
    <w:rsid w:val="001766EA"/>
    <w:rsid w:val="00177FD5"/>
    <w:rsid w:val="001D0072"/>
    <w:rsid w:val="001D016E"/>
    <w:rsid w:val="001D10F7"/>
    <w:rsid w:val="001D1D27"/>
    <w:rsid w:val="001E21BC"/>
    <w:rsid w:val="00205FA9"/>
    <w:rsid w:val="002069D7"/>
    <w:rsid w:val="00210C4E"/>
    <w:rsid w:val="002126B0"/>
    <w:rsid w:val="00226E92"/>
    <w:rsid w:val="0026029D"/>
    <w:rsid w:val="00274B27"/>
    <w:rsid w:val="0028496C"/>
    <w:rsid w:val="00294E98"/>
    <w:rsid w:val="002A2088"/>
    <w:rsid w:val="002A63D3"/>
    <w:rsid w:val="002F3F09"/>
    <w:rsid w:val="0033215D"/>
    <w:rsid w:val="00345884"/>
    <w:rsid w:val="003478FF"/>
    <w:rsid w:val="0035447F"/>
    <w:rsid w:val="00360387"/>
    <w:rsid w:val="00360463"/>
    <w:rsid w:val="00367FBA"/>
    <w:rsid w:val="00370013"/>
    <w:rsid w:val="0038796C"/>
    <w:rsid w:val="003A2882"/>
    <w:rsid w:val="003A7FA8"/>
    <w:rsid w:val="003B2EAD"/>
    <w:rsid w:val="003C59E4"/>
    <w:rsid w:val="003D2CCB"/>
    <w:rsid w:val="003E0EAE"/>
    <w:rsid w:val="003E275F"/>
    <w:rsid w:val="003E6D28"/>
    <w:rsid w:val="003E6E1B"/>
    <w:rsid w:val="003F287E"/>
    <w:rsid w:val="003F7F42"/>
    <w:rsid w:val="00404B8E"/>
    <w:rsid w:val="004261C5"/>
    <w:rsid w:val="0044111F"/>
    <w:rsid w:val="00445F9C"/>
    <w:rsid w:val="004712EB"/>
    <w:rsid w:val="00481CC0"/>
    <w:rsid w:val="00487B91"/>
    <w:rsid w:val="0049472D"/>
    <w:rsid w:val="004B0A35"/>
    <w:rsid w:val="004B5A66"/>
    <w:rsid w:val="004C5428"/>
    <w:rsid w:val="004E210E"/>
    <w:rsid w:val="00512F44"/>
    <w:rsid w:val="00513131"/>
    <w:rsid w:val="00532161"/>
    <w:rsid w:val="0054046B"/>
    <w:rsid w:val="00544EB2"/>
    <w:rsid w:val="00554714"/>
    <w:rsid w:val="00561B33"/>
    <w:rsid w:val="0056207D"/>
    <w:rsid w:val="00565E30"/>
    <w:rsid w:val="00577904"/>
    <w:rsid w:val="00593CDD"/>
    <w:rsid w:val="005B181E"/>
    <w:rsid w:val="005C1E78"/>
    <w:rsid w:val="005C507C"/>
    <w:rsid w:val="005E69CE"/>
    <w:rsid w:val="005F41AF"/>
    <w:rsid w:val="00622E0E"/>
    <w:rsid w:val="0062786D"/>
    <w:rsid w:val="006343CB"/>
    <w:rsid w:val="00637563"/>
    <w:rsid w:val="00650A2D"/>
    <w:rsid w:val="00667072"/>
    <w:rsid w:val="0067302A"/>
    <w:rsid w:val="00675451"/>
    <w:rsid w:val="00680EA6"/>
    <w:rsid w:val="00683786"/>
    <w:rsid w:val="00693EA4"/>
    <w:rsid w:val="006A4C27"/>
    <w:rsid w:val="006B425B"/>
    <w:rsid w:val="006C2126"/>
    <w:rsid w:val="006C69BD"/>
    <w:rsid w:val="006C7B03"/>
    <w:rsid w:val="006E440E"/>
    <w:rsid w:val="006F29A5"/>
    <w:rsid w:val="00710D14"/>
    <w:rsid w:val="007320E1"/>
    <w:rsid w:val="00746A2E"/>
    <w:rsid w:val="00752A7A"/>
    <w:rsid w:val="00761CAF"/>
    <w:rsid w:val="0079265D"/>
    <w:rsid w:val="007969B9"/>
    <w:rsid w:val="007B5401"/>
    <w:rsid w:val="007D2FA4"/>
    <w:rsid w:val="007D3029"/>
    <w:rsid w:val="007E1C53"/>
    <w:rsid w:val="007F1969"/>
    <w:rsid w:val="008365C9"/>
    <w:rsid w:val="00845B48"/>
    <w:rsid w:val="00852EE5"/>
    <w:rsid w:val="0085419E"/>
    <w:rsid w:val="008571B0"/>
    <w:rsid w:val="0086632C"/>
    <w:rsid w:val="008706C9"/>
    <w:rsid w:val="008A1608"/>
    <w:rsid w:val="008B1ED3"/>
    <w:rsid w:val="008C2730"/>
    <w:rsid w:val="008C677C"/>
    <w:rsid w:val="008F0963"/>
    <w:rsid w:val="00910C0E"/>
    <w:rsid w:val="00926876"/>
    <w:rsid w:val="009529F4"/>
    <w:rsid w:val="009639E7"/>
    <w:rsid w:val="00965EDE"/>
    <w:rsid w:val="00974B83"/>
    <w:rsid w:val="0097582C"/>
    <w:rsid w:val="009D61F1"/>
    <w:rsid w:val="009E2F8E"/>
    <w:rsid w:val="009E3F80"/>
    <w:rsid w:val="009E496C"/>
    <w:rsid w:val="009E51A2"/>
    <w:rsid w:val="00A00394"/>
    <w:rsid w:val="00A2020F"/>
    <w:rsid w:val="00A63601"/>
    <w:rsid w:val="00A71E68"/>
    <w:rsid w:val="00A83114"/>
    <w:rsid w:val="00A911FE"/>
    <w:rsid w:val="00A91D7F"/>
    <w:rsid w:val="00A9234F"/>
    <w:rsid w:val="00AA2E83"/>
    <w:rsid w:val="00AA3098"/>
    <w:rsid w:val="00AA66CB"/>
    <w:rsid w:val="00AB40CD"/>
    <w:rsid w:val="00AC2A27"/>
    <w:rsid w:val="00AE507B"/>
    <w:rsid w:val="00AF3DE0"/>
    <w:rsid w:val="00B13A24"/>
    <w:rsid w:val="00B26329"/>
    <w:rsid w:val="00B307A2"/>
    <w:rsid w:val="00B32F0B"/>
    <w:rsid w:val="00B36F30"/>
    <w:rsid w:val="00B54BC4"/>
    <w:rsid w:val="00B86EBE"/>
    <w:rsid w:val="00BD7ED0"/>
    <w:rsid w:val="00BE068C"/>
    <w:rsid w:val="00BE37AE"/>
    <w:rsid w:val="00BF186B"/>
    <w:rsid w:val="00C33C83"/>
    <w:rsid w:val="00C37F3C"/>
    <w:rsid w:val="00C471B5"/>
    <w:rsid w:val="00C510E5"/>
    <w:rsid w:val="00C52732"/>
    <w:rsid w:val="00C57261"/>
    <w:rsid w:val="00C57CE5"/>
    <w:rsid w:val="00C66102"/>
    <w:rsid w:val="00C82DDB"/>
    <w:rsid w:val="00C82FA2"/>
    <w:rsid w:val="00CB01EC"/>
    <w:rsid w:val="00CB686A"/>
    <w:rsid w:val="00CC14D7"/>
    <w:rsid w:val="00CD2D38"/>
    <w:rsid w:val="00CD349D"/>
    <w:rsid w:val="00CD4234"/>
    <w:rsid w:val="00CE679A"/>
    <w:rsid w:val="00CF0617"/>
    <w:rsid w:val="00D00407"/>
    <w:rsid w:val="00D11CC9"/>
    <w:rsid w:val="00D54ACF"/>
    <w:rsid w:val="00D60849"/>
    <w:rsid w:val="00D65684"/>
    <w:rsid w:val="00D776A4"/>
    <w:rsid w:val="00DB68A5"/>
    <w:rsid w:val="00DC23A0"/>
    <w:rsid w:val="00DE30C0"/>
    <w:rsid w:val="00DF3ECA"/>
    <w:rsid w:val="00E1027E"/>
    <w:rsid w:val="00E37287"/>
    <w:rsid w:val="00E4696B"/>
    <w:rsid w:val="00E503DB"/>
    <w:rsid w:val="00E542BD"/>
    <w:rsid w:val="00E8175F"/>
    <w:rsid w:val="00E86265"/>
    <w:rsid w:val="00EC20CB"/>
    <w:rsid w:val="00ED360B"/>
    <w:rsid w:val="00ED7B66"/>
    <w:rsid w:val="00EE607A"/>
    <w:rsid w:val="00EF0277"/>
    <w:rsid w:val="00EF38E9"/>
    <w:rsid w:val="00F109FC"/>
    <w:rsid w:val="00F1381B"/>
    <w:rsid w:val="00F305EC"/>
    <w:rsid w:val="00F339D6"/>
    <w:rsid w:val="00F43277"/>
    <w:rsid w:val="00F54A47"/>
    <w:rsid w:val="00F776D5"/>
    <w:rsid w:val="00F80E08"/>
    <w:rsid w:val="00F87AFB"/>
    <w:rsid w:val="00F96227"/>
    <w:rsid w:val="00F97F8E"/>
    <w:rsid w:val="00FB030F"/>
    <w:rsid w:val="00FB68C3"/>
    <w:rsid w:val="00FC0F79"/>
    <w:rsid w:val="00FC326A"/>
    <w:rsid w:val="00FD088C"/>
    <w:rsid w:val="00FE04C1"/>
    <w:rsid w:val="00FE4F23"/>
    <w:rsid w:val="00FF0107"/>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7AC"/>
  <w15:docId w15:val="{38D69753-BCC2-4959-80D0-D4AD7CDE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4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4D"/>
    <w:pPr>
      <w:ind w:left="720"/>
    </w:pPr>
  </w:style>
  <w:style w:type="paragraph" w:styleId="NormalWeb">
    <w:name w:val="Normal (Web)"/>
    <w:basedOn w:val="Normal"/>
    <w:uiPriority w:val="99"/>
    <w:semiHidden/>
    <w:unhideWhenUsed/>
    <w:rsid w:val="0002384D"/>
    <w:rPr>
      <w:rFonts w:ascii="Times New Roman" w:eastAsiaTheme="minorHAnsi" w:hAnsi="Times New Roman"/>
      <w:sz w:val="24"/>
      <w:szCs w:val="24"/>
    </w:rPr>
  </w:style>
  <w:style w:type="paragraph" w:customStyle="1" w:styleId="xmsonormal">
    <w:name w:val="x_msonormal"/>
    <w:basedOn w:val="Normal"/>
    <w:uiPriority w:val="99"/>
    <w:rsid w:val="0002384D"/>
    <w:rPr>
      <w:rFonts w:ascii="Times New Roman" w:eastAsiaTheme="minorHAnsi" w:hAnsi="Times New Roman"/>
      <w:sz w:val="24"/>
      <w:szCs w:val="24"/>
    </w:rPr>
  </w:style>
  <w:style w:type="paragraph" w:customStyle="1" w:styleId="xmsoplaintext">
    <w:name w:val="x_msoplaintext"/>
    <w:basedOn w:val="Normal"/>
    <w:uiPriority w:val="99"/>
    <w:semiHidden/>
    <w:rsid w:val="0002384D"/>
    <w:rPr>
      <w:rFonts w:ascii="Times New Roman" w:eastAsiaTheme="minorHAnsi" w:hAnsi="Times New Roman"/>
      <w:sz w:val="24"/>
      <w:szCs w:val="24"/>
    </w:rPr>
  </w:style>
  <w:style w:type="paragraph" w:styleId="PlainText">
    <w:name w:val="Plain Text"/>
    <w:basedOn w:val="Normal"/>
    <w:link w:val="PlainTextChar"/>
    <w:uiPriority w:val="99"/>
    <w:unhideWhenUsed/>
    <w:rsid w:val="006B425B"/>
    <w:rPr>
      <w:rFonts w:eastAsiaTheme="minorHAnsi" w:cstheme="minorBidi"/>
      <w:szCs w:val="21"/>
    </w:rPr>
  </w:style>
  <w:style w:type="character" w:customStyle="1" w:styleId="PlainTextChar">
    <w:name w:val="Plain Text Char"/>
    <w:basedOn w:val="DefaultParagraphFont"/>
    <w:link w:val="PlainText"/>
    <w:uiPriority w:val="99"/>
    <w:rsid w:val="006B425B"/>
    <w:rPr>
      <w:rFonts w:ascii="Calibri" w:hAnsi="Calibri"/>
      <w:szCs w:val="21"/>
    </w:rPr>
  </w:style>
  <w:style w:type="paragraph" w:styleId="Header">
    <w:name w:val="header"/>
    <w:basedOn w:val="Normal"/>
    <w:link w:val="HeaderChar"/>
    <w:uiPriority w:val="99"/>
    <w:unhideWhenUsed/>
    <w:rsid w:val="000D6984"/>
    <w:pPr>
      <w:tabs>
        <w:tab w:val="center" w:pos="4680"/>
        <w:tab w:val="right" w:pos="9360"/>
      </w:tabs>
    </w:pPr>
  </w:style>
  <w:style w:type="character" w:customStyle="1" w:styleId="HeaderChar">
    <w:name w:val="Header Char"/>
    <w:basedOn w:val="DefaultParagraphFont"/>
    <w:link w:val="Header"/>
    <w:uiPriority w:val="99"/>
    <w:rsid w:val="000D6984"/>
    <w:rPr>
      <w:rFonts w:ascii="Calibri" w:eastAsia="Times New Roman" w:hAnsi="Calibri" w:cs="Times New Roman"/>
    </w:rPr>
  </w:style>
  <w:style w:type="paragraph" w:styleId="Footer">
    <w:name w:val="footer"/>
    <w:basedOn w:val="Normal"/>
    <w:link w:val="FooterChar"/>
    <w:uiPriority w:val="99"/>
    <w:unhideWhenUsed/>
    <w:rsid w:val="000D6984"/>
    <w:pPr>
      <w:tabs>
        <w:tab w:val="center" w:pos="4680"/>
        <w:tab w:val="right" w:pos="9360"/>
      </w:tabs>
    </w:pPr>
  </w:style>
  <w:style w:type="character" w:customStyle="1" w:styleId="FooterChar">
    <w:name w:val="Footer Char"/>
    <w:basedOn w:val="DefaultParagraphFont"/>
    <w:link w:val="Footer"/>
    <w:uiPriority w:val="99"/>
    <w:rsid w:val="000D6984"/>
    <w:rPr>
      <w:rFonts w:ascii="Calibri" w:eastAsia="Times New Roman" w:hAnsi="Calibri" w:cs="Times New Roman"/>
    </w:rPr>
  </w:style>
  <w:style w:type="character" w:styleId="CommentReference">
    <w:name w:val="annotation reference"/>
    <w:basedOn w:val="DefaultParagraphFont"/>
    <w:uiPriority w:val="99"/>
    <w:semiHidden/>
    <w:unhideWhenUsed/>
    <w:rsid w:val="00FE04C1"/>
    <w:rPr>
      <w:sz w:val="16"/>
      <w:szCs w:val="16"/>
    </w:rPr>
  </w:style>
  <w:style w:type="paragraph" w:styleId="CommentText">
    <w:name w:val="annotation text"/>
    <w:basedOn w:val="Normal"/>
    <w:link w:val="CommentTextChar"/>
    <w:uiPriority w:val="99"/>
    <w:semiHidden/>
    <w:unhideWhenUsed/>
    <w:rsid w:val="00FE04C1"/>
    <w:rPr>
      <w:sz w:val="20"/>
      <w:szCs w:val="20"/>
    </w:rPr>
  </w:style>
  <w:style w:type="character" w:customStyle="1" w:styleId="CommentTextChar">
    <w:name w:val="Comment Text Char"/>
    <w:basedOn w:val="DefaultParagraphFont"/>
    <w:link w:val="CommentText"/>
    <w:uiPriority w:val="99"/>
    <w:semiHidden/>
    <w:rsid w:val="00FE04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04C1"/>
    <w:rPr>
      <w:b/>
      <w:bCs/>
    </w:rPr>
  </w:style>
  <w:style w:type="character" w:customStyle="1" w:styleId="CommentSubjectChar">
    <w:name w:val="Comment Subject Char"/>
    <w:basedOn w:val="CommentTextChar"/>
    <w:link w:val="CommentSubject"/>
    <w:uiPriority w:val="99"/>
    <w:semiHidden/>
    <w:rsid w:val="00FE04C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E04C1"/>
    <w:rPr>
      <w:rFonts w:ascii="Tahoma" w:hAnsi="Tahoma" w:cs="Tahoma"/>
      <w:sz w:val="16"/>
      <w:szCs w:val="16"/>
    </w:rPr>
  </w:style>
  <w:style w:type="character" w:customStyle="1" w:styleId="BalloonTextChar">
    <w:name w:val="Balloon Text Char"/>
    <w:basedOn w:val="DefaultParagraphFont"/>
    <w:link w:val="BalloonText"/>
    <w:uiPriority w:val="99"/>
    <w:semiHidden/>
    <w:rsid w:val="00FE04C1"/>
    <w:rPr>
      <w:rFonts w:ascii="Tahoma" w:eastAsia="Times New Roman" w:hAnsi="Tahoma" w:cs="Tahoma"/>
      <w:sz w:val="16"/>
      <w:szCs w:val="16"/>
    </w:rPr>
  </w:style>
  <w:style w:type="character" w:styleId="Hyperlink">
    <w:name w:val="Hyperlink"/>
    <w:basedOn w:val="DefaultParagraphFont"/>
    <w:uiPriority w:val="99"/>
    <w:unhideWhenUsed/>
    <w:rsid w:val="00A2020F"/>
    <w:rPr>
      <w:color w:val="0000FF" w:themeColor="hyperlink"/>
      <w:u w:val="single"/>
    </w:rPr>
  </w:style>
  <w:style w:type="paragraph" w:styleId="FootnoteText">
    <w:name w:val="footnote text"/>
    <w:basedOn w:val="Normal"/>
    <w:link w:val="FootnoteTextChar"/>
    <w:semiHidden/>
    <w:rsid w:val="00F776D5"/>
    <w:pPr>
      <w:numPr>
        <w:numId w:val="6"/>
      </w:numPr>
      <w:tabs>
        <w:tab w:val="clear" w:pos="360"/>
      </w:tabs>
      <w:ind w:left="0" w:firstLine="0"/>
    </w:pPr>
    <w:rPr>
      <w:rFonts w:ascii="Book Antiqua" w:hAnsi="Book Antiqua"/>
      <w:sz w:val="20"/>
      <w:szCs w:val="20"/>
    </w:rPr>
  </w:style>
  <w:style w:type="character" w:customStyle="1" w:styleId="FootnoteTextChar">
    <w:name w:val="Footnote Text Char"/>
    <w:basedOn w:val="DefaultParagraphFont"/>
    <w:link w:val="FootnoteText"/>
    <w:semiHidden/>
    <w:rsid w:val="00F776D5"/>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3881">
      <w:bodyDiv w:val="1"/>
      <w:marLeft w:val="0"/>
      <w:marRight w:val="0"/>
      <w:marTop w:val="0"/>
      <w:marBottom w:val="0"/>
      <w:divBdr>
        <w:top w:val="none" w:sz="0" w:space="0" w:color="auto"/>
        <w:left w:val="none" w:sz="0" w:space="0" w:color="auto"/>
        <w:bottom w:val="none" w:sz="0" w:space="0" w:color="auto"/>
        <w:right w:val="none" w:sz="0" w:space="0" w:color="auto"/>
      </w:divBdr>
      <w:divsChild>
        <w:div w:id="224338927">
          <w:marLeft w:val="259"/>
          <w:marRight w:val="0"/>
          <w:marTop w:val="280"/>
          <w:marBottom w:val="0"/>
          <w:divBdr>
            <w:top w:val="none" w:sz="0" w:space="0" w:color="auto"/>
            <w:left w:val="none" w:sz="0" w:space="0" w:color="auto"/>
            <w:bottom w:val="none" w:sz="0" w:space="0" w:color="auto"/>
            <w:right w:val="none" w:sz="0" w:space="0" w:color="auto"/>
          </w:divBdr>
        </w:div>
      </w:divsChild>
    </w:div>
    <w:div w:id="159776867">
      <w:bodyDiv w:val="1"/>
      <w:marLeft w:val="0"/>
      <w:marRight w:val="0"/>
      <w:marTop w:val="0"/>
      <w:marBottom w:val="0"/>
      <w:divBdr>
        <w:top w:val="none" w:sz="0" w:space="0" w:color="auto"/>
        <w:left w:val="none" w:sz="0" w:space="0" w:color="auto"/>
        <w:bottom w:val="none" w:sz="0" w:space="0" w:color="auto"/>
        <w:right w:val="none" w:sz="0" w:space="0" w:color="auto"/>
      </w:divBdr>
      <w:divsChild>
        <w:div w:id="941379000">
          <w:marLeft w:val="259"/>
          <w:marRight w:val="0"/>
          <w:marTop w:val="280"/>
          <w:marBottom w:val="0"/>
          <w:divBdr>
            <w:top w:val="none" w:sz="0" w:space="0" w:color="auto"/>
            <w:left w:val="none" w:sz="0" w:space="0" w:color="auto"/>
            <w:bottom w:val="none" w:sz="0" w:space="0" w:color="auto"/>
            <w:right w:val="none" w:sz="0" w:space="0" w:color="auto"/>
          </w:divBdr>
        </w:div>
        <w:div w:id="1749880731">
          <w:marLeft w:val="259"/>
          <w:marRight w:val="0"/>
          <w:marTop w:val="280"/>
          <w:marBottom w:val="0"/>
          <w:divBdr>
            <w:top w:val="none" w:sz="0" w:space="0" w:color="auto"/>
            <w:left w:val="none" w:sz="0" w:space="0" w:color="auto"/>
            <w:bottom w:val="none" w:sz="0" w:space="0" w:color="auto"/>
            <w:right w:val="none" w:sz="0" w:space="0" w:color="auto"/>
          </w:divBdr>
        </w:div>
        <w:div w:id="1570965498">
          <w:marLeft w:val="259"/>
          <w:marRight w:val="0"/>
          <w:marTop w:val="280"/>
          <w:marBottom w:val="0"/>
          <w:divBdr>
            <w:top w:val="none" w:sz="0" w:space="0" w:color="auto"/>
            <w:left w:val="none" w:sz="0" w:space="0" w:color="auto"/>
            <w:bottom w:val="none" w:sz="0" w:space="0" w:color="auto"/>
            <w:right w:val="none" w:sz="0" w:space="0" w:color="auto"/>
          </w:divBdr>
        </w:div>
        <w:div w:id="597712117">
          <w:marLeft w:val="259"/>
          <w:marRight w:val="0"/>
          <w:marTop w:val="280"/>
          <w:marBottom w:val="0"/>
          <w:divBdr>
            <w:top w:val="none" w:sz="0" w:space="0" w:color="auto"/>
            <w:left w:val="none" w:sz="0" w:space="0" w:color="auto"/>
            <w:bottom w:val="none" w:sz="0" w:space="0" w:color="auto"/>
            <w:right w:val="none" w:sz="0" w:space="0" w:color="auto"/>
          </w:divBdr>
        </w:div>
        <w:div w:id="132064632">
          <w:marLeft w:val="259"/>
          <w:marRight w:val="0"/>
          <w:marTop w:val="280"/>
          <w:marBottom w:val="0"/>
          <w:divBdr>
            <w:top w:val="none" w:sz="0" w:space="0" w:color="auto"/>
            <w:left w:val="none" w:sz="0" w:space="0" w:color="auto"/>
            <w:bottom w:val="none" w:sz="0" w:space="0" w:color="auto"/>
            <w:right w:val="none" w:sz="0" w:space="0" w:color="auto"/>
          </w:divBdr>
        </w:div>
      </w:divsChild>
    </w:div>
    <w:div w:id="185221784">
      <w:bodyDiv w:val="1"/>
      <w:marLeft w:val="0"/>
      <w:marRight w:val="0"/>
      <w:marTop w:val="0"/>
      <w:marBottom w:val="0"/>
      <w:divBdr>
        <w:top w:val="none" w:sz="0" w:space="0" w:color="auto"/>
        <w:left w:val="none" w:sz="0" w:space="0" w:color="auto"/>
        <w:bottom w:val="none" w:sz="0" w:space="0" w:color="auto"/>
        <w:right w:val="none" w:sz="0" w:space="0" w:color="auto"/>
      </w:divBdr>
    </w:div>
    <w:div w:id="554006276">
      <w:bodyDiv w:val="1"/>
      <w:marLeft w:val="0"/>
      <w:marRight w:val="0"/>
      <w:marTop w:val="0"/>
      <w:marBottom w:val="0"/>
      <w:divBdr>
        <w:top w:val="none" w:sz="0" w:space="0" w:color="auto"/>
        <w:left w:val="none" w:sz="0" w:space="0" w:color="auto"/>
        <w:bottom w:val="none" w:sz="0" w:space="0" w:color="auto"/>
        <w:right w:val="none" w:sz="0" w:space="0" w:color="auto"/>
      </w:divBdr>
    </w:div>
    <w:div w:id="717709816">
      <w:bodyDiv w:val="1"/>
      <w:marLeft w:val="0"/>
      <w:marRight w:val="0"/>
      <w:marTop w:val="0"/>
      <w:marBottom w:val="0"/>
      <w:divBdr>
        <w:top w:val="none" w:sz="0" w:space="0" w:color="auto"/>
        <w:left w:val="none" w:sz="0" w:space="0" w:color="auto"/>
        <w:bottom w:val="none" w:sz="0" w:space="0" w:color="auto"/>
        <w:right w:val="none" w:sz="0" w:space="0" w:color="auto"/>
      </w:divBdr>
    </w:div>
    <w:div w:id="800195392">
      <w:bodyDiv w:val="1"/>
      <w:marLeft w:val="0"/>
      <w:marRight w:val="0"/>
      <w:marTop w:val="0"/>
      <w:marBottom w:val="0"/>
      <w:divBdr>
        <w:top w:val="none" w:sz="0" w:space="0" w:color="auto"/>
        <w:left w:val="none" w:sz="0" w:space="0" w:color="auto"/>
        <w:bottom w:val="none" w:sz="0" w:space="0" w:color="auto"/>
        <w:right w:val="none" w:sz="0" w:space="0" w:color="auto"/>
      </w:divBdr>
    </w:div>
    <w:div w:id="865874913">
      <w:bodyDiv w:val="1"/>
      <w:marLeft w:val="0"/>
      <w:marRight w:val="0"/>
      <w:marTop w:val="0"/>
      <w:marBottom w:val="0"/>
      <w:divBdr>
        <w:top w:val="none" w:sz="0" w:space="0" w:color="auto"/>
        <w:left w:val="none" w:sz="0" w:space="0" w:color="auto"/>
        <w:bottom w:val="none" w:sz="0" w:space="0" w:color="auto"/>
        <w:right w:val="none" w:sz="0" w:space="0" w:color="auto"/>
      </w:divBdr>
    </w:div>
    <w:div w:id="1256279015">
      <w:bodyDiv w:val="1"/>
      <w:marLeft w:val="0"/>
      <w:marRight w:val="0"/>
      <w:marTop w:val="0"/>
      <w:marBottom w:val="0"/>
      <w:divBdr>
        <w:top w:val="none" w:sz="0" w:space="0" w:color="auto"/>
        <w:left w:val="none" w:sz="0" w:space="0" w:color="auto"/>
        <w:bottom w:val="none" w:sz="0" w:space="0" w:color="auto"/>
        <w:right w:val="none" w:sz="0" w:space="0" w:color="auto"/>
      </w:divBdr>
    </w:div>
    <w:div w:id="1333533907">
      <w:bodyDiv w:val="1"/>
      <w:marLeft w:val="0"/>
      <w:marRight w:val="0"/>
      <w:marTop w:val="0"/>
      <w:marBottom w:val="0"/>
      <w:divBdr>
        <w:top w:val="none" w:sz="0" w:space="0" w:color="auto"/>
        <w:left w:val="none" w:sz="0" w:space="0" w:color="auto"/>
        <w:bottom w:val="none" w:sz="0" w:space="0" w:color="auto"/>
        <w:right w:val="none" w:sz="0" w:space="0" w:color="auto"/>
      </w:divBdr>
    </w:div>
    <w:div w:id="1440955629">
      <w:bodyDiv w:val="1"/>
      <w:marLeft w:val="0"/>
      <w:marRight w:val="0"/>
      <w:marTop w:val="0"/>
      <w:marBottom w:val="0"/>
      <w:divBdr>
        <w:top w:val="none" w:sz="0" w:space="0" w:color="auto"/>
        <w:left w:val="none" w:sz="0" w:space="0" w:color="auto"/>
        <w:bottom w:val="none" w:sz="0" w:space="0" w:color="auto"/>
        <w:right w:val="none" w:sz="0" w:space="0" w:color="auto"/>
      </w:divBdr>
    </w:div>
    <w:div w:id="1511683012">
      <w:bodyDiv w:val="1"/>
      <w:marLeft w:val="0"/>
      <w:marRight w:val="0"/>
      <w:marTop w:val="0"/>
      <w:marBottom w:val="0"/>
      <w:divBdr>
        <w:top w:val="none" w:sz="0" w:space="0" w:color="auto"/>
        <w:left w:val="none" w:sz="0" w:space="0" w:color="auto"/>
        <w:bottom w:val="none" w:sz="0" w:space="0" w:color="auto"/>
        <w:right w:val="none" w:sz="0" w:space="0" w:color="auto"/>
      </w:divBdr>
    </w:div>
    <w:div w:id="1713847017">
      <w:bodyDiv w:val="1"/>
      <w:marLeft w:val="0"/>
      <w:marRight w:val="0"/>
      <w:marTop w:val="0"/>
      <w:marBottom w:val="0"/>
      <w:divBdr>
        <w:top w:val="none" w:sz="0" w:space="0" w:color="auto"/>
        <w:left w:val="none" w:sz="0" w:space="0" w:color="auto"/>
        <w:bottom w:val="none" w:sz="0" w:space="0" w:color="auto"/>
        <w:right w:val="none" w:sz="0" w:space="0" w:color="auto"/>
      </w:divBdr>
    </w:div>
    <w:div w:id="1750346869">
      <w:bodyDiv w:val="1"/>
      <w:marLeft w:val="0"/>
      <w:marRight w:val="0"/>
      <w:marTop w:val="0"/>
      <w:marBottom w:val="0"/>
      <w:divBdr>
        <w:top w:val="none" w:sz="0" w:space="0" w:color="auto"/>
        <w:left w:val="none" w:sz="0" w:space="0" w:color="auto"/>
        <w:bottom w:val="none" w:sz="0" w:space="0" w:color="auto"/>
        <w:right w:val="none" w:sz="0" w:space="0" w:color="auto"/>
      </w:divBdr>
    </w:div>
    <w:div w:id="20136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fq3dVnwevA&amp;feature=youtu.be&amp;rel=0&amp;autoplay=1" TargetMode="External"/><Relationship Id="rId3" Type="http://schemas.openxmlformats.org/officeDocument/2006/relationships/settings" Target="settings.xml"/><Relationship Id="rId7" Type="http://schemas.openxmlformats.org/officeDocument/2006/relationships/hyperlink" Target="https://www.youtube.com/watch?v=xk0lzFjmu68&amp;feature=youtu.be&amp;rel=0&amp;autoplay=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ademicaffairs.ucsf.edu/academic-personnel/other/fser/fs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4200</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4978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Plan Advisory Committee (CPAC) Meeting Minutes for May 9, 2019</dc:title>
  <dc:subject/>
  <dc:creator/>
  <cp:keywords/>
  <dc:description/>
  <cp:lastModifiedBy>Farm, Frank</cp:lastModifiedBy>
  <cp:revision>3</cp:revision>
  <dcterms:created xsi:type="dcterms:W3CDTF">2019-06-03T21:56:00Z</dcterms:created>
  <dcterms:modified xsi:type="dcterms:W3CDTF">2019-12-05T17:51:00Z</dcterms:modified>
  <cp:category/>
</cp:coreProperties>
</file>